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rPr/>
      </w:pPr>
      <w:r w:rsidDel="00000000" w:rsidR="00000000" w:rsidRPr="00000000">
        <w:rPr>
          <w:rtl w:val="0"/>
        </w:rPr>
        <w:t xml:space="preserve">The request for funds to support participation of LTER scientists at the 2016 ILTER Open Science Meeting was combined into a single supplement request, along with the funds for unexpected transition costs from the LNO to the NCO.</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I’m including here only the relevant portions of the proposal, the budget justification, and the budget..</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Proposal:</w:t>
      </w:r>
    </w:p>
    <w:p w:rsidR="00000000" w:rsidDel="00000000" w:rsidP="00000000" w:rsidRDefault="00000000" w:rsidRPr="00000000" w14:paraId="00000005">
      <w:pPr>
        <w:rPr/>
      </w:pPr>
      <w:r w:rsidDel="00000000" w:rsidR="00000000" w:rsidRPr="00000000">
        <w:rPr>
          <w:rtl w:val="0"/>
        </w:rPr>
        <w:t xml:space="preserve">This Supplement Request if for two separate activities:</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We are requesting funds to support LTER researcher participation in the International Open Science Meeting at Kruger National Park, South Africa, in October 2016.The meeting provides an important opportunity to expand and strengthen interactions and collaboration between US-LTER scientists and the international LTER community. The LTER Network Communications Office will work with NSF LTER Program Officers on criteria for evaluating researcher requests for travel funds, and will administer and disperse those funds.</w:t>
      </w:r>
    </w:p>
    <w:p w:rsidR="00000000" w:rsidDel="00000000" w:rsidP="00000000" w:rsidRDefault="00000000" w:rsidRPr="00000000" w14:paraId="00000007">
      <w:pPr>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Budget Justification</w:t>
      </w:r>
    </w:p>
    <w:p w:rsidR="00000000" w:rsidDel="00000000" w:rsidP="00000000" w:rsidRDefault="00000000" w:rsidRPr="00000000" w14:paraId="0000000A">
      <w:pPr>
        <w:ind w:left="720" w:firstLine="0"/>
        <w:rPr>
          <w:b w:val="1"/>
        </w:rPr>
      </w:pPr>
      <w:r w:rsidDel="00000000" w:rsidR="00000000" w:rsidRPr="00000000">
        <w:rPr>
          <w:b w:val="1"/>
          <w:rtl w:val="0"/>
        </w:rPr>
        <w:t xml:space="preserve">Participant Support Costs</w:t>
      </w:r>
    </w:p>
    <w:p w:rsidR="00000000" w:rsidDel="00000000" w:rsidP="00000000" w:rsidRDefault="00000000" w:rsidRPr="00000000" w14:paraId="0000000B">
      <w:pPr>
        <w:ind w:left="720" w:firstLine="0"/>
        <w:rPr/>
      </w:pPr>
      <w:r w:rsidDel="00000000" w:rsidR="00000000" w:rsidRPr="00000000">
        <w:rPr>
          <w:rtl w:val="0"/>
        </w:rPr>
        <w:t xml:space="preserve">We have budgeted for 18 LTER researchers to attend the 5-day International LTER Open</w:t>
      </w:r>
    </w:p>
    <w:p w:rsidR="00000000" w:rsidDel="00000000" w:rsidP="00000000" w:rsidRDefault="00000000" w:rsidRPr="00000000" w14:paraId="0000000C">
      <w:pPr>
        <w:ind w:left="720" w:firstLine="0"/>
        <w:rPr/>
      </w:pPr>
      <w:r w:rsidDel="00000000" w:rsidR="00000000" w:rsidRPr="00000000">
        <w:rPr>
          <w:rtl w:val="0"/>
        </w:rPr>
        <w:t xml:space="preserve">Science Meeting in Kruger National Park, South Africa in October 2016. Airfare and</w:t>
      </w:r>
    </w:p>
    <w:p w:rsidR="00000000" w:rsidDel="00000000" w:rsidP="00000000" w:rsidRDefault="00000000" w:rsidRPr="00000000" w14:paraId="0000000D">
      <w:pPr>
        <w:ind w:left="720" w:firstLine="0"/>
        <w:rPr/>
      </w:pPr>
      <w:r w:rsidDel="00000000" w:rsidR="00000000" w:rsidRPr="00000000">
        <w:rPr>
          <w:rtl w:val="0"/>
        </w:rPr>
        <w:t xml:space="preserve">hotel costs are estimates based on prior experience and web searches on sites such as</w:t>
      </w:r>
    </w:p>
    <w:p w:rsidR="00000000" w:rsidDel="00000000" w:rsidP="00000000" w:rsidRDefault="00000000" w:rsidRPr="00000000" w14:paraId="0000000E">
      <w:pPr>
        <w:ind w:left="720" w:firstLine="0"/>
        <w:rPr/>
      </w:pPr>
      <w:r w:rsidDel="00000000" w:rsidR="00000000" w:rsidRPr="00000000">
        <w:rPr>
          <w:rtl w:val="0"/>
        </w:rPr>
        <w:t xml:space="preserve">Orbitz. Hotel and per diem costs include 2 additional days for travel to and from the</w:t>
      </w:r>
    </w:p>
    <w:p w:rsidR="00000000" w:rsidDel="00000000" w:rsidP="00000000" w:rsidRDefault="00000000" w:rsidRPr="00000000" w14:paraId="0000000F">
      <w:pPr>
        <w:ind w:left="720" w:firstLine="0"/>
        <w:rPr/>
      </w:pPr>
      <w:r w:rsidDel="00000000" w:rsidR="00000000" w:rsidRPr="00000000">
        <w:rPr>
          <w:rtl w:val="0"/>
        </w:rPr>
        <w:t xml:space="preserve">meeting. The number of participants may change slightly depending on prices at time of</w:t>
      </w:r>
    </w:p>
    <w:p w:rsidR="00000000" w:rsidDel="00000000" w:rsidP="00000000" w:rsidRDefault="00000000" w:rsidRPr="00000000" w14:paraId="00000010">
      <w:pPr>
        <w:ind w:left="720" w:firstLine="0"/>
        <w:rPr/>
      </w:pPr>
      <w:r w:rsidDel="00000000" w:rsidR="00000000" w:rsidRPr="00000000">
        <w:rPr>
          <w:rtl w:val="0"/>
        </w:rPr>
        <w:t xml:space="preserve">purchase. Participant support costs are not subject to indirect costs.</w:t>
      </w:r>
    </w:p>
    <w:p w:rsidR="00000000" w:rsidDel="00000000" w:rsidP="00000000" w:rsidRDefault="00000000" w:rsidRPr="00000000" w14:paraId="00000011">
      <w:pPr>
        <w:ind w:left="720" w:firstLine="0"/>
        <w:rPr>
          <w:b w:val="1"/>
        </w:rPr>
      </w:pPr>
      <w:r w:rsidDel="00000000" w:rsidR="00000000" w:rsidRPr="00000000">
        <w:rPr>
          <w:rtl w:val="0"/>
        </w:rPr>
      </w:r>
    </w:p>
    <w:p w:rsidR="00000000" w:rsidDel="00000000" w:rsidP="00000000" w:rsidRDefault="00000000" w:rsidRPr="00000000" w14:paraId="00000012">
      <w:pPr>
        <w:ind w:left="720" w:firstLine="0"/>
        <w:rPr>
          <w:b w:val="1"/>
        </w:rPr>
      </w:pPr>
      <w:r w:rsidDel="00000000" w:rsidR="00000000" w:rsidRPr="00000000">
        <w:rPr>
          <w:b w:val="1"/>
          <w:rtl w:val="0"/>
        </w:rPr>
        <w:t xml:space="preserve">Travel</w:t>
      </w:r>
    </w:p>
    <w:p w:rsidR="00000000" w:rsidDel="00000000" w:rsidP="00000000" w:rsidRDefault="00000000" w:rsidRPr="00000000" w14:paraId="00000013">
      <w:pPr>
        <w:ind w:left="720" w:firstLine="0"/>
        <w:rPr/>
      </w:pPr>
      <w:r w:rsidDel="00000000" w:rsidR="00000000" w:rsidRPr="00000000">
        <w:rPr>
          <w:rtl w:val="0"/>
        </w:rPr>
        <w:t xml:space="preserve">We have budgeted for 2 UC Santa Barbara LTER researchers to attend the 5-day</w:t>
      </w:r>
    </w:p>
    <w:p w:rsidR="00000000" w:rsidDel="00000000" w:rsidP="00000000" w:rsidRDefault="00000000" w:rsidRPr="00000000" w14:paraId="00000014">
      <w:pPr>
        <w:ind w:left="720" w:firstLine="0"/>
        <w:rPr/>
      </w:pPr>
      <w:r w:rsidDel="00000000" w:rsidR="00000000" w:rsidRPr="00000000">
        <w:rPr>
          <w:rtl w:val="0"/>
        </w:rPr>
        <w:t xml:space="preserve">International LTER Open Science Meeting in Kruger National Park, South Africa in</w:t>
      </w:r>
    </w:p>
    <w:p w:rsidR="00000000" w:rsidDel="00000000" w:rsidP="00000000" w:rsidRDefault="00000000" w:rsidRPr="00000000" w14:paraId="00000015">
      <w:pPr>
        <w:ind w:left="720" w:firstLine="0"/>
        <w:rPr/>
      </w:pPr>
      <w:r w:rsidDel="00000000" w:rsidR="00000000" w:rsidRPr="00000000">
        <w:rPr>
          <w:rtl w:val="0"/>
        </w:rPr>
        <w:t xml:space="preserve">October 2016. Airfare and hotel costs are based on prior experience and web searches</w:t>
      </w:r>
    </w:p>
    <w:p w:rsidR="00000000" w:rsidDel="00000000" w:rsidP="00000000" w:rsidRDefault="00000000" w:rsidRPr="00000000" w14:paraId="00000016">
      <w:pPr>
        <w:ind w:left="720" w:firstLine="0"/>
        <w:rPr/>
      </w:pPr>
      <w:r w:rsidDel="00000000" w:rsidR="00000000" w:rsidRPr="00000000">
        <w:rPr>
          <w:rtl w:val="0"/>
        </w:rPr>
        <w:t xml:space="preserve">on sites such as Orbitz. Hotel and per diem costs include 2 additional days for travel to</w:t>
      </w:r>
    </w:p>
    <w:p w:rsidR="00000000" w:rsidDel="00000000" w:rsidP="00000000" w:rsidRDefault="00000000" w:rsidRPr="00000000" w14:paraId="00000017">
      <w:pPr>
        <w:ind w:left="720" w:firstLine="0"/>
        <w:rPr/>
      </w:pPr>
      <w:r w:rsidDel="00000000" w:rsidR="00000000" w:rsidRPr="00000000">
        <w:rPr>
          <w:rtl w:val="0"/>
        </w:rPr>
        <w:t xml:space="preserve">and from the meeting. The number of participants may change slightly depending on</w:t>
      </w:r>
    </w:p>
    <w:p w:rsidR="00000000" w:rsidDel="00000000" w:rsidP="00000000" w:rsidRDefault="00000000" w:rsidRPr="00000000" w14:paraId="00000018">
      <w:pPr>
        <w:ind w:left="720" w:firstLine="0"/>
        <w:rPr/>
      </w:pPr>
      <w:r w:rsidDel="00000000" w:rsidR="00000000" w:rsidRPr="00000000">
        <w:rPr>
          <w:rtl w:val="0"/>
        </w:rPr>
        <w:t xml:space="preserve">prices at time of purchase.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Budget</w:t>
      </w:r>
    </w:p>
    <w:p w:rsidR="00000000" w:rsidDel="00000000" w:rsidP="00000000" w:rsidRDefault="00000000" w:rsidRPr="00000000" w14:paraId="0000001B">
      <w:pPr>
        <w:rPr>
          <w:b w:val="1"/>
        </w:rPr>
      </w:pPr>
      <w:r w:rsidDel="00000000" w:rsidR="00000000" w:rsidRPr="00000000">
        <w:rPr>
          <w:rtl w:val="0"/>
        </w:rPr>
      </w:r>
    </w:p>
    <w:tbl>
      <w:tblPr>
        <w:tblStyle w:val="Table1"/>
        <w:tblW w:w="808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85"/>
        <w:gridCol w:w="1455"/>
        <w:gridCol w:w="1455"/>
        <w:gridCol w:w="1680"/>
        <w:gridCol w:w="1710"/>
        <w:tblGridChange w:id="0">
          <w:tblGrid>
            <w:gridCol w:w="1785"/>
            <w:gridCol w:w="1455"/>
            <w:gridCol w:w="1455"/>
            <w:gridCol w:w="1680"/>
            <w:gridCol w:w="1710"/>
          </w:tblGrid>
        </w:tblGridChange>
      </w:tblGrid>
      <w:tr>
        <w:trPr>
          <w:trHeight w:val="42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C">
            <w:pPr>
              <w:rPr>
                <w:b w:val="1"/>
              </w:rPr>
            </w:pPr>
            <w:r w:rsidDel="00000000" w:rsidR="00000000" w:rsidRPr="00000000">
              <w:rPr>
                <w:b w:val="1"/>
                <w:rtl w:val="0"/>
              </w:rPr>
              <w:t xml:space="preserve">Participant Support (non-UCSB participants)</w:t>
            </w:r>
          </w:p>
        </w:tc>
        <w:tc>
          <w:tcPr>
            <w:vMerge w:val="restart"/>
            <w:shd w:fill="d9d9d9" w:val="clear"/>
            <w:tcMar>
              <w:top w:w="100.0" w:type="dxa"/>
              <w:left w:w="100.0" w:type="dxa"/>
              <w:bottom w:w="100.0" w:type="dxa"/>
              <w:right w:w="100.0" w:type="dxa"/>
            </w:tcMar>
            <w:vAlign w:val="top"/>
          </w:tcPr>
          <w:p w:rsidR="00000000" w:rsidDel="00000000" w:rsidP="00000000" w:rsidRDefault="00000000" w:rsidRPr="00000000" w14:paraId="0000001E">
            <w:pPr>
              <w:rPr>
                <w:b w:val="1"/>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F">
            <w:pPr>
              <w:rPr>
                <w:b w:val="1"/>
              </w:rPr>
            </w:pPr>
            <w:r w:rsidDel="00000000" w:rsidR="00000000" w:rsidRPr="00000000">
              <w:rPr>
                <w:b w:val="1"/>
                <w:rtl w:val="0"/>
              </w:rPr>
              <w:t xml:space="preserve">Travel </w:t>
            </w:r>
          </w:p>
          <w:p w:rsidR="00000000" w:rsidDel="00000000" w:rsidP="00000000" w:rsidRDefault="00000000" w:rsidRPr="00000000" w14:paraId="00000020">
            <w:pPr>
              <w:rPr>
                <w:b w:val="1"/>
              </w:rPr>
            </w:pPr>
            <w:r w:rsidDel="00000000" w:rsidR="00000000" w:rsidRPr="00000000">
              <w:rPr>
                <w:b w:val="1"/>
                <w:rtl w:val="0"/>
              </w:rPr>
              <w:t xml:space="preserve">(UCSB participants)</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rPr>
                <w:b w:val="1"/>
              </w:rPr>
            </w:pPr>
            <w:r w:rsidDel="00000000" w:rsidR="00000000" w:rsidRPr="00000000">
              <w:rPr>
                <w:b w:val="1"/>
                <w:rtl w:val="0"/>
              </w:rPr>
              <w:t xml:space="preserve">Travel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rPr>
                <w:b w:val="1"/>
              </w:rPr>
            </w:pPr>
            <w:r w:rsidDel="00000000" w:rsidR="00000000" w:rsidRPr="00000000">
              <w:rPr>
                <w:b w:val="1"/>
                <w:rtl w:val="0"/>
              </w:rPr>
              <w:t xml:space="preserve">$53,190</w:t>
            </w:r>
          </w:p>
        </w:tc>
        <w:tc>
          <w:tcPr>
            <w:vMerge w:val="continue"/>
            <w:shd w:fill="d9d9d9" w:val="clear"/>
            <w:tcMar>
              <w:top w:w="100.0" w:type="dxa"/>
              <w:left w:w="100.0" w:type="dxa"/>
              <w:bottom w:w="100.0" w:type="dxa"/>
              <w:right w:w="100.0" w:type="dxa"/>
            </w:tcMar>
            <w:vAlign w:val="top"/>
          </w:tcPr>
          <w:p w:rsidR="00000000" w:rsidDel="00000000" w:rsidP="00000000" w:rsidRDefault="00000000" w:rsidRPr="00000000" w14:paraId="00000024">
            <w:pPr>
              <w:spacing w:after="0" w:before="0" w:line="240" w:lineRule="auto"/>
              <w:ind w:left="0" w:firstLine="0"/>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rPr>
                <w:b w:val="1"/>
              </w:rPr>
            </w:pPr>
            <w:r w:rsidDel="00000000" w:rsidR="00000000" w:rsidRPr="00000000">
              <w:rPr>
                <w:b w:val="1"/>
                <w:rtl w:val="0"/>
              </w:rPr>
              <w:t xml:space="preserve">Travel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rPr>
                <w:b w:val="1"/>
              </w:rPr>
            </w:pPr>
            <w:r w:rsidDel="00000000" w:rsidR="00000000" w:rsidRPr="00000000">
              <w:rPr>
                <w:b w:val="1"/>
                <w:rtl w:val="0"/>
              </w:rPr>
              <w:t xml:space="preserve">$6,820</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rPr>
                <w:b w:val="1"/>
              </w:rPr>
            </w:pPr>
            <w:r w:rsidDel="00000000" w:rsidR="00000000" w:rsidRPr="00000000">
              <w:rPr>
                <w:b w:val="1"/>
                <w:rtl w:val="0"/>
              </w:rPr>
              <w:t xml:space="preserve">Subsistence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rPr>
                <w:b w:val="1"/>
              </w:rPr>
            </w:pPr>
            <w:r w:rsidDel="00000000" w:rsidR="00000000" w:rsidRPr="00000000">
              <w:rPr>
                <w:b w:val="1"/>
                <w:rtl w:val="0"/>
              </w:rPr>
              <w:t xml:space="preserve">$8,190</w:t>
            </w:r>
          </w:p>
        </w:tc>
        <w:tc>
          <w:tcPr>
            <w:vMerge w:val="continue"/>
            <w:shd w:fill="d9d9d9" w:val="clear"/>
            <w:tcMar>
              <w:top w:w="100.0" w:type="dxa"/>
              <w:left w:w="100.0" w:type="dxa"/>
              <w:bottom w:w="100.0" w:type="dxa"/>
              <w:right w:w="100.0" w:type="dxa"/>
            </w:tcMar>
            <w:vAlign w:val="top"/>
          </w:tcPr>
          <w:p w:rsidR="00000000" w:rsidDel="00000000" w:rsidP="00000000" w:rsidRDefault="00000000" w:rsidRPr="00000000" w14:paraId="00000029">
            <w:pPr>
              <w:spacing w:after="0" w:before="0" w:line="240" w:lineRule="auto"/>
              <w:ind w:left="0" w:firstLine="0"/>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rPr>
                <w:b w:val="1"/>
              </w:rPr>
            </w:pPr>
            <w:r w:rsidDel="00000000" w:rsidR="00000000" w:rsidRPr="00000000">
              <w:rPr>
                <w:b w:val="1"/>
                <w:rtl w:val="0"/>
              </w:rPr>
              <w:t xml:space="preserve">Subsistence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rPr>
                <w:b w:val="1"/>
              </w:rPr>
            </w:pPr>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rPr>
                <w:b w:val="1"/>
              </w:rPr>
            </w:pPr>
            <w:r w:rsidDel="00000000" w:rsidR="00000000" w:rsidRPr="00000000">
              <w:rPr>
                <w:b w:val="1"/>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rPr>
                <w:b w:val="1"/>
              </w:rPr>
            </w:pPr>
            <w:r w:rsidDel="00000000" w:rsidR="00000000" w:rsidRPr="00000000">
              <w:rPr>
                <w:b w:val="1"/>
                <w:rtl w:val="0"/>
              </w:rPr>
              <w:t xml:space="preserve">$61,380</w:t>
            </w:r>
          </w:p>
        </w:tc>
        <w:tc>
          <w:tcPr>
            <w:vMerge w:val="continue"/>
            <w:shd w:fill="d9d9d9" w:val="clear"/>
            <w:tcMar>
              <w:top w:w="100.0" w:type="dxa"/>
              <w:left w:w="100.0" w:type="dxa"/>
              <w:bottom w:w="100.0" w:type="dxa"/>
              <w:right w:w="100.0" w:type="dxa"/>
            </w:tcMar>
            <w:vAlign w:val="top"/>
          </w:tcPr>
          <w:p w:rsidR="00000000" w:rsidDel="00000000" w:rsidP="00000000" w:rsidRDefault="00000000" w:rsidRPr="00000000" w14:paraId="0000002E">
            <w:pPr>
              <w:spacing w:after="0" w:before="0" w:line="240" w:lineRule="auto"/>
              <w:ind w:left="0" w:firstLine="0"/>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rPr>
                <w:b w:val="1"/>
              </w:rPr>
            </w:pPr>
            <w:r w:rsidDel="00000000" w:rsidR="00000000" w:rsidRPr="00000000">
              <w:rPr>
                <w:b w:val="1"/>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rPr>
                <w:b w:val="1"/>
              </w:rPr>
            </w:pPr>
            <w:r w:rsidDel="00000000" w:rsidR="00000000" w:rsidRPr="00000000">
              <w:rPr>
                <w:b w:val="1"/>
                <w:rtl w:val="0"/>
              </w:rPr>
              <w:t xml:space="preserve">$6,820</w:t>
            </w:r>
          </w:p>
        </w:tc>
      </w:tr>
    </w:tbl>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i w:val="1"/>
        </w:rPr>
      </w:pPr>
      <w:r w:rsidDel="00000000" w:rsidR="00000000" w:rsidRPr="00000000">
        <w:rPr>
          <w:i w:val="1"/>
          <w:rtl w:val="0"/>
        </w:rPr>
        <w:t xml:space="preserve">The original, proposed budget was for $68,200 for 20 people. The final cost was $74,000 for 24 people.</w:t>
      </w:r>
    </w:p>
    <w:sectPr>
      <w:pgSz w:h="15840" w:w="12240"/>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