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E156" w14:textId="2E031859" w:rsidR="00993905" w:rsidRDefault="0064721D" w:rsidP="00993905">
      <w:pPr>
        <w:pStyle w:val="NoSpacing"/>
        <w:rPr>
          <w:b/>
        </w:rPr>
      </w:pPr>
      <w:r>
        <w:rPr>
          <w:b/>
        </w:rPr>
        <w:t>Drought Resistance/Resilience Case Studies</w:t>
      </w:r>
    </w:p>
    <w:p w14:paraId="39773A44" w14:textId="76CF2905" w:rsidR="0064721D" w:rsidRDefault="0064721D" w:rsidP="00993905">
      <w:pPr>
        <w:pStyle w:val="NoSpacing"/>
      </w:pPr>
      <w:r>
        <w:t>Our goal is to have people do a bit of background preparation regarding the research that’s been done on drought at their LTER site. There is a template on this page, with a few examples we’ve filled out for NTL on subsequent pages.</w:t>
      </w:r>
    </w:p>
    <w:p w14:paraId="07893383" w14:textId="77777777" w:rsidR="0064721D" w:rsidRDefault="0064721D" w:rsidP="00993905">
      <w:pPr>
        <w:pStyle w:val="NoSpacing"/>
      </w:pPr>
    </w:p>
    <w:p w14:paraId="3589D626" w14:textId="4E8509B4" w:rsidR="0064721D" w:rsidRDefault="0064721D" w:rsidP="00993905">
      <w:pPr>
        <w:pStyle w:val="NoSpacing"/>
      </w:pPr>
      <w:r>
        <w:t>If you have time to e-mail us (szipper@wisc.edu; ciruzzi@wisc.edu) your case studies in advance, that would be help us prepare; if not, just bring them to the meeting!</w:t>
      </w:r>
      <w:bookmarkStart w:id="0" w:name="_GoBack"/>
      <w:bookmarkEnd w:id="0"/>
      <w:r>
        <w:t xml:space="preserve"> </w:t>
      </w:r>
    </w:p>
    <w:p w14:paraId="14896AB4" w14:textId="77777777" w:rsidR="0064721D" w:rsidRPr="0064721D" w:rsidRDefault="0064721D" w:rsidP="00993905">
      <w:pPr>
        <w:pStyle w:val="NoSpacing"/>
      </w:pPr>
    </w:p>
    <w:p w14:paraId="47C9D969" w14:textId="04659669" w:rsidR="0064721D" w:rsidRPr="0064721D" w:rsidRDefault="0064721D" w:rsidP="00993905">
      <w:pPr>
        <w:pStyle w:val="NoSpacing"/>
        <w:rPr>
          <w:i/>
        </w:rPr>
      </w:pPr>
      <w:r w:rsidRPr="0064721D">
        <w:rPr>
          <w:i/>
        </w:rPr>
        <w:t>Case Study Template</w:t>
      </w:r>
    </w:p>
    <w:tbl>
      <w:tblPr>
        <w:tblStyle w:val="TableGrid"/>
        <w:tblW w:w="0" w:type="auto"/>
        <w:tblLook w:val="04A0" w:firstRow="1" w:lastRow="0" w:firstColumn="1" w:lastColumn="0" w:noHBand="0" w:noVBand="1"/>
      </w:tblPr>
      <w:tblGrid>
        <w:gridCol w:w="2245"/>
        <w:gridCol w:w="7105"/>
      </w:tblGrid>
      <w:tr w:rsidR="00993905" w:rsidRPr="00B21ED9" w14:paraId="25F9A616" w14:textId="77777777" w:rsidTr="00B76DFD">
        <w:tc>
          <w:tcPr>
            <w:tcW w:w="2245" w:type="dxa"/>
          </w:tcPr>
          <w:p w14:paraId="53C3348B" w14:textId="161DB32F" w:rsidR="00993905" w:rsidRPr="00B21ED9" w:rsidRDefault="00993905" w:rsidP="00993905">
            <w:pPr>
              <w:pStyle w:val="NoSpacing"/>
              <w:rPr>
                <w:b/>
              </w:rPr>
            </w:pPr>
            <w:r w:rsidRPr="00B21ED9">
              <w:rPr>
                <w:b/>
              </w:rPr>
              <w:t>Citation</w:t>
            </w:r>
            <w:r w:rsidR="00B76DFD" w:rsidRPr="00B21ED9">
              <w:rPr>
                <w:b/>
              </w:rPr>
              <w:t>(s)</w:t>
            </w:r>
          </w:p>
        </w:tc>
        <w:tc>
          <w:tcPr>
            <w:tcW w:w="7105" w:type="dxa"/>
          </w:tcPr>
          <w:p w14:paraId="02C3A0BA" w14:textId="25DF42AE" w:rsidR="00B76DFD" w:rsidRPr="00B21ED9" w:rsidRDefault="00B76DFD" w:rsidP="00503EBE">
            <w:pPr>
              <w:rPr>
                <w:rFonts w:eastAsia="Times New Roman" w:cs="Times New Roman"/>
              </w:rPr>
            </w:pPr>
          </w:p>
        </w:tc>
      </w:tr>
      <w:tr w:rsidR="00993905" w:rsidRPr="00B21ED9" w14:paraId="13B36021" w14:textId="77777777" w:rsidTr="00B76DFD">
        <w:tc>
          <w:tcPr>
            <w:tcW w:w="2245" w:type="dxa"/>
          </w:tcPr>
          <w:p w14:paraId="75655B67" w14:textId="71F381D3" w:rsidR="00993905" w:rsidRPr="00B21ED9" w:rsidRDefault="00993905" w:rsidP="00993905">
            <w:pPr>
              <w:pStyle w:val="NoSpacing"/>
              <w:rPr>
                <w:b/>
              </w:rPr>
            </w:pPr>
            <w:r w:rsidRPr="00B21ED9">
              <w:rPr>
                <w:b/>
              </w:rPr>
              <w:t>LTER Site</w:t>
            </w:r>
          </w:p>
        </w:tc>
        <w:tc>
          <w:tcPr>
            <w:tcW w:w="7105" w:type="dxa"/>
          </w:tcPr>
          <w:p w14:paraId="4C708537" w14:textId="2AE17200" w:rsidR="00993905" w:rsidRPr="00B21ED9" w:rsidRDefault="00993905" w:rsidP="00B76DFD">
            <w:pPr>
              <w:pStyle w:val="NoSpacing"/>
            </w:pPr>
          </w:p>
        </w:tc>
      </w:tr>
      <w:tr w:rsidR="00993905" w:rsidRPr="00B21ED9" w14:paraId="2114002F" w14:textId="77777777" w:rsidTr="00B76DFD">
        <w:tc>
          <w:tcPr>
            <w:tcW w:w="2245" w:type="dxa"/>
          </w:tcPr>
          <w:p w14:paraId="637BA0F6" w14:textId="15198B58" w:rsidR="00993905" w:rsidRPr="00B21ED9" w:rsidRDefault="00993905" w:rsidP="00993905">
            <w:pPr>
              <w:pStyle w:val="NoSpacing"/>
              <w:rPr>
                <w:b/>
              </w:rPr>
            </w:pPr>
            <w:r w:rsidRPr="00B21ED9">
              <w:rPr>
                <w:b/>
              </w:rPr>
              <w:t>Ecosystem</w:t>
            </w:r>
          </w:p>
        </w:tc>
        <w:tc>
          <w:tcPr>
            <w:tcW w:w="7105" w:type="dxa"/>
          </w:tcPr>
          <w:p w14:paraId="18DAE871" w14:textId="0CAB8386" w:rsidR="00993905" w:rsidRPr="00B21ED9" w:rsidRDefault="00993905" w:rsidP="00993905">
            <w:pPr>
              <w:pStyle w:val="NoSpacing"/>
            </w:pPr>
          </w:p>
        </w:tc>
      </w:tr>
      <w:tr w:rsidR="00B76DFD" w:rsidRPr="00B21ED9" w14:paraId="52F65F1F" w14:textId="77777777" w:rsidTr="00B76DFD">
        <w:tc>
          <w:tcPr>
            <w:tcW w:w="2245" w:type="dxa"/>
          </w:tcPr>
          <w:p w14:paraId="14345868" w14:textId="5A778619" w:rsidR="00B76DFD" w:rsidRPr="00B21ED9" w:rsidRDefault="00B76DFD" w:rsidP="00993905">
            <w:pPr>
              <w:pStyle w:val="NoSpacing"/>
              <w:rPr>
                <w:b/>
              </w:rPr>
            </w:pPr>
            <w:r w:rsidRPr="00B21ED9">
              <w:rPr>
                <w:b/>
              </w:rPr>
              <w:t xml:space="preserve">Overview </w:t>
            </w:r>
          </w:p>
        </w:tc>
        <w:tc>
          <w:tcPr>
            <w:tcW w:w="7105" w:type="dxa"/>
          </w:tcPr>
          <w:p w14:paraId="0F3CB621" w14:textId="56272615" w:rsidR="00B76DFD" w:rsidRPr="00B21ED9" w:rsidRDefault="0064721D" w:rsidP="00993905">
            <w:pPr>
              <w:pStyle w:val="NoSpacing"/>
            </w:pPr>
            <w:r>
              <w:t>This</w:t>
            </w:r>
            <w:r w:rsidR="00B76DFD" w:rsidRPr="00B21ED9">
              <w:t xml:space="preserve"> stud</w:t>
            </w:r>
            <w:r>
              <w:t>y</w:t>
            </w:r>
            <w:r w:rsidR="00503EBE" w:rsidRPr="00B21ED9">
              <w:t xml:space="preserve"> focus</w:t>
            </w:r>
            <w:r>
              <w:t>es on…</w:t>
            </w:r>
          </w:p>
          <w:p w14:paraId="25C5F319" w14:textId="77777777" w:rsidR="00B76DFD" w:rsidRPr="00B21ED9" w:rsidRDefault="00B76DFD" w:rsidP="00993905">
            <w:pPr>
              <w:pStyle w:val="NoSpacing"/>
            </w:pPr>
          </w:p>
          <w:p w14:paraId="37304C92" w14:textId="302B6AC3" w:rsidR="00B76DFD" w:rsidRPr="00B21ED9" w:rsidRDefault="00B76DFD" w:rsidP="0064721D">
            <w:pPr>
              <w:pStyle w:val="NoSpacing"/>
            </w:pPr>
            <w:r w:rsidRPr="00B21ED9">
              <w:t xml:space="preserve">The authors </w:t>
            </w:r>
            <w:r w:rsidR="0064721D">
              <w:t>find…</w:t>
            </w:r>
            <w:r w:rsidRPr="00B21ED9">
              <w:t xml:space="preserve"> </w:t>
            </w:r>
          </w:p>
        </w:tc>
      </w:tr>
      <w:tr w:rsidR="00993905" w:rsidRPr="00B21ED9" w14:paraId="6535D2D6" w14:textId="77777777" w:rsidTr="00B76DFD">
        <w:tc>
          <w:tcPr>
            <w:tcW w:w="2245" w:type="dxa"/>
          </w:tcPr>
          <w:p w14:paraId="1757C958" w14:textId="2723DC44" w:rsidR="00993905" w:rsidRPr="00B21ED9" w:rsidRDefault="00993905" w:rsidP="00B76DFD">
            <w:pPr>
              <w:pStyle w:val="NoSpacing"/>
              <w:rPr>
                <w:b/>
              </w:rPr>
            </w:pPr>
            <w:r w:rsidRPr="00B21ED9">
              <w:rPr>
                <w:b/>
              </w:rPr>
              <w:t xml:space="preserve">Is drought resistance quantified? </w:t>
            </w:r>
            <w:r w:rsidR="00B76DFD" w:rsidRPr="00B21ED9">
              <w:rPr>
                <w:b/>
              </w:rPr>
              <w:t>If so, h</w:t>
            </w:r>
            <w:r w:rsidRPr="00B21ED9">
              <w:rPr>
                <w:b/>
              </w:rPr>
              <w:t>ow</w:t>
            </w:r>
            <w:r w:rsidR="00B76DFD" w:rsidRPr="00B21ED9">
              <w:rPr>
                <w:b/>
              </w:rPr>
              <w:t>? Are drivers of drought resistance discussed</w:t>
            </w:r>
            <w:r w:rsidRPr="00B21ED9">
              <w:rPr>
                <w:b/>
              </w:rPr>
              <w:t>?</w:t>
            </w:r>
          </w:p>
        </w:tc>
        <w:tc>
          <w:tcPr>
            <w:tcW w:w="7105" w:type="dxa"/>
          </w:tcPr>
          <w:p w14:paraId="1DD3E646" w14:textId="3DC00ECC" w:rsidR="00993905" w:rsidRPr="00B21ED9" w:rsidRDefault="00993905" w:rsidP="00B76DFD">
            <w:pPr>
              <w:pStyle w:val="NoSpacing"/>
            </w:pPr>
          </w:p>
        </w:tc>
      </w:tr>
      <w:tr w:rsidR="00993905" w:rsidRPr="00B21ED9" w14:paraId="25DA8C06" w14:textId="77777777" w:rsidTr="00B76DFD">
        <w:tc>
          <w:tcPr>
            <w:tcW w:w="2245" w:type="dxa"/>
          </w:tcPr>
          <w:p w14:paraId="63F7B8A2" w14:textId="208305B1" w:rsidR="00993905" w:rsidRPr="00B21ED9" w:rsidRDefault="00993905" w:rsidP="00B76DFD">
            <w:pPr>
              <w:pStyle w:val="NoSpacing"/>
              <w:rPr>
                <w:b/>
              </w:rPr>
            </w:pPr>
            <w:r w:rsidRPr="00B21ED9">
              <w:rPr>
                <w:b/>
              </w:rPr>
              <w:t xml:space="preserve">Is drought resilience quantified? </w:t>
            </w:r>
            <w:r w:rsidR="00B76DFD" w:rsidRPr="00B21ED9">
              <w:rPr>
                <w:b/>
              </w:rPr>
              <w:t>If so, h</w:t>
            </w:r>
            <w:r w:rsidRPr="00B21ED9">
              <w:rPr>
                <w:b/>
              </w:rPr>
              <w:t>ow?</w:t>
            </w:r>
            <w:r w:rsidR="00B76DFD" w:rsidRPr="00B21ED9">
              <w:rPr>
                <w:b/>
              </w:rPr>
              <w:t xml:space="preserve"> Are drivers of drought resilience discussed?</w:t>
            </w:r>
          </w:p>
        </w:tc>
        <w:tc>
          <w:tcPr>
            <w:tcW w:w="7105" w:type="dxa"/>
          </w:tcPr>
          <w:p w14:paraId="31730D86" w14:textId="00D9C751" w:rsidR="00993905" w:rsidRPr="00B21ED9" w:rsidRDefault="00993905" w:rsidP="00993905">
            <w:pPr>
              <w:pStyle w:val="NoSpacing"/>
            </w:pPr>
          </w:p>
        </w:tc>
      </w:tr>
    </w:tbl>
    <w:p w14:paraId="0E137F3D" w14:textId="54ADFF93" w:rsidR="00B21ED9" w:rsidRPr="00B21ED9" w:rsidRDefault="00B21ED9" w:rsidP="00993905">
      <w:pPr>
        <w:pStyle w:val="NoSpacing"/>
      </w:pPr>
    </w:p>
    <w:p w14:paraId="32329DB8" w14:textId="77777777" w:rsidR="00B21ED9" w:rsidRDefault="00B21ED9">
      <w:r w:rsidRPr="00B21ED9">
        <w:br w:type="page"/>
      </w:r>
    </w:p>
    <w:p w14:paraId="22609AFF" w14:textId="6F26ED1E" w:rsidR="0064721D" w:rsidRPr="0064721D" w:rsidRDefault="0064721D" w:rsidP="0064721D">
      <w:pPr>
        <w:pStyle w:val="NoSpacing"/>
        <w:rPr>
          <w:i/>
        </w:rPr>
      </w:pPr>
      <w:r w:rsidRPr="0064721D">
        <w:rPr>
          <w:i/>
        </w:rPr>
        <w:lastRenderedPageBreak/>
        <w:t>Case Study Examples</w:t>
      </w:r>
    </w:p>
    <w:tbl>
      <w:tblPr>
        <w:tblStyle w:val="TableGrid"/>
        <w:tblW w:w="0" w:type="auto"/>
        <w:tblLook w:val="04A0" w:firstRow="1" w:lastRow="0" w:firstColumn="1" w:lastColumn="0" w:noHBand="0" w:noVBand="1"/>
      </w:tblPr>
      <w:tblGrid>
        <w:gridCol w:w="2245"/>
        <w:gridCol w:w="7105"/>
      </w:tblGrid>
      <w:tr w:rsidR="0064721D" w:rsidRPr="00B21ED9" w14:paraId="2FEB3364" w14:textId="77777777" w:rsidTr="0064721D">
        <w:tc>
          <w:tcPr>
            <w:tcW w:w="2245" w:type="dxa"/>
          </w:tcPr>
          <w:p w14:paraId="2DB8F8ED" w14:textId="77777777" w:rsidR="0064721D" w:rsidRPr="00B21ED9" w:rsidRDefault="0064721D" w:rsidP="001A036C">
            <w:pPr>
              <w:pStyle w:val="NoSpacing"/>
              <w:rPr>
                <w:b/>
              </w:rPr>
            </w:pPr>
            <w:r w:rsidRPr="00B21ED9">
              <w:rPr>
                <w:b/>
              </w:rPr>
              <w:t>Citation(s)</w:t>
            </w:r>
          </w:p>
        </w:tc>
        <w:tc>
          <w:tcPr>
            <w:tcW w:w="7105" w:type="dxa"/>
          </w:tcPr>
          <w:p w14:paraId="2C326DD9" w14:textId="77777777" w:rsidR="0064721D" w:rsidRPr="00B21ED9" w:rsidRDefault="0064721D" w:rsidP="001A036C">
            <w:pPr>
              <w:ind w:left="-18" w:firstLine="18"/>
              <w:rPr>
                <w:rFonts w:eastAsia="Times New Roman" w:cs="Times New Roman"/>
              </w:rPr>
            </w:pPr>
            <w:r w:rsidRPr="00993905">
              <w:rPr>
                <w:rFonts w:eastAsia="Times New Roman" w:cs="Times New Roman"/>
              </w:rPr>
              <w:t xml:space="preserve">Zipper, S. C., M. E. Soylu, E. G. Booth, and S. P. Loheide II (2015), Untangling the effects of shallow groundwater and soil texture as drivers of subfield-scale yield variability, </w:t>
            </w:r>
            <w:r w:rsidRPr="00993905">
              <w:rPr>
                <w:rFonts w:eastAsia="Times New Roman" w:cs="Times New Roman"/>
                <w:i/>
                <w:iCs/>
              </w:rPr>
              <w:t>Water Resour. Res.</w:t>
            </w:r>
            <w:r w:rsidRPr="00993905">
              <w:rPr>
                <w:rFonts w:eastAsia="Times New Roman" w:cs="Times New Roman"/>
              </w:rPr>
              <w:t>, n/a–n/a, doi:10.1002/2015WR017522.</w:t>
            </w:r>
          </w:p>
          <w:p w14:paraId="25ACD7D4" w14:textId="77777777" w:rsidR="0064721D" w:rsidRPr="00B21ED9" w:rsidRDefault="0064721D" w:rsidP="001A036C">
            <w:pPr>
              <w:ind w:left="-18" w:firstLine="18"/>
              <w:rPr>
                <w:rFonts w:eastAsia="Times New Roman" w:cs="Times New Roman"/>
              </w:rPr>
            </w:pPr>
          </w:p>
          <w:p w14:paraId="72E0AA1E" w14:textId="77777777" w:rsidR="0064721D" w:rsidRPr="00B21ED9" w:rsidRDefault="0064721D" w:rsidP="001A036C">
            <w:pPr>
              <w:rPr>
                <w:rFonts w:eastAsia="Times New Roman" w:cs="Times New Roman"/>
              </w:rPr>
            </w:pPr>
            <w:r w:rsidRPr="00503EBE">
              <w:rPr>
                <w:rFonts w:eastAsia="Times New Roman" w:cs="Times New Roman"/>
              </w:rPr>
              <w:t xml:space="preserve">Zipper, S. C., and S. P. Loheide II (2014), Using evapotranspiration to assess drought sensitivity on a subfield scale with HRMET, a high resolution surface energy balance model, </w:t>
            </w:r>
            <w:r w:rsidRPr="00503EBE">
              <w:rPr>
                <w:rFonts w:eastAsia="Times New Roman" w:cs="Times New Roman"/>
                <w:i/>
                <w:iCs/>
              </w:rPr>
              <w:t>Agricultural and Forest Meteorology</w:t>
            </w:r>
            <w:r w:rsidRPr="00503EBE">
              <w:rPr>
                <w:rFonts w:eastAsia="Times New Roman" w:cs="Times New Roman"/>
              </w:rPr>
              <w:t xml:space="preserve">, </w:t>
            </w:r>
            <w:r w:rsidRPr="00503EBE">
              <w:rPr>
                <w:rFonts w:eastAsia="Times New Roman" w:cs="Times New Roman"/>
                <w:i/>
                <w:iCs/>
              </w:rPr>
              <w:t>197</w:t>
            </w:r>
            <w:r w:rsidRPr="00503EBE">
              <w:rPr>
                <w:rFonts w:eastAsia="Times New Roman" w:cs="Times New Roman"/>
              </w:rPr>
              <w:t>, 91–102, doi:10.1016/j.agrformet.2014.06.009.</w:t>
            </w:r>
          </w:p>
        </w:tc>
      </w:tr>
      <w:tr w:rsidR="0064721D" w:rsidRPr="00B21ED9" w14:paraId="15827C28" w14:textId="77777777" w:rsidTr="0064721D">
        <w:tc>
          <w:tcPr>
            <w:tcW w:w="2245" w:type="dxa"/>
          </w:tcPr>
          <w:p w14:paraId="6D1F4BC8" w14:textId="77777777" w:rsidR="0064721D" w:rsidRPr="00B21ED9" w:rsidRDefault="0064721D" w:rsidP="001A036C">
            <w:pPr>
              <w:pStyle w:val="NoSpacing"/>
              <w:rPr>
                <w:b/>
              </w:rPr>
            </w:pPr>
            <w:r w:rsidRPr="00B21ED9">
              <w:rPr>
                <w:b/>
              </w:rPr>
              <w:t>LTER Site</w:t>
            </w:r>
          </w:p>
        </w:tc>
        <w:tc>
          <w:tcPr>
            <w:tcW w:w="7105" w:type="dxa"/>
          </w:tcPr>
          <w:p w14:paraId="64AB2A4B" w14:textId="77777777" w:rsidR="0064721D" w:rsidRPr="00B21ED9" w:rsidRDefault="0064721D" w:rsidP="001A036C">
            <w:pPr>
              <w:pStyle w:val="NoSpacing"/>
            </w:pPr>
            <w:r w:rsidRPr="00B21ED9">
              <w:t>North Temperate Lakes (Madison Lakes Region)</w:t>
            </w:r>
          </w:p>
        </w:tc>
      </w:tr>
      <w:tr w:rsidR="0064721D" w:rsidRPr="00B21ED9" w14:paraId="13F6C7ED" w14:textId="77777777" w:rsidTr="0064721D">
        <w:tc>
          <w:tcPr>
            <w:tcW w:w="2245" w:type="dxa"/>
          </w:tcPr>
          <w:p w14:paraId="49E1B624" w14:textId="77777777" w:rsidR="0064721D" w:rsidRPr="00B21ED9" w:rsidRDefault="0064721D" w:rsidP="001A036C">
            <w:pPr>
              <w:pStyle w:val="NoSpacing"/>
              <w:rPr>
                <w:b/>
              </w:rPr>
            </w:pPr>
            <w:r w:rsidRPr="00B21ED9">
              <w:rPr>
                <w:b/>
              </w:rPr>
              <w:t>Ecosystem</w:t>
            </w:r>
          </w:p>
        </w:tc>
        <w:tc>
          <w:tcPr>
            <w:tcW w:w="7105" w:type="dxa"/>
          </w:tcPr>
          <w:p w14:paraId="731551FA" w14:textId="77777777" w:rsidR="0064721D" w:rsidRPr="00B21ED9" w:rsidRDefault="0064721D" w:rsidP="001A036C">
            <w:pPr>
              <w:pStyle w:val="NoSpacing"/>
            </w:pPr>
            <w:r w:rsidRPr="00B21ED9">
              <w:t>Corn field</w:t>
            </w:r>
          </w:p>
        </w:tc>
      </w:tr>
      <w:tr w:rsidR="0064721D" w:rsidRPr="00B21ED9" w14:paraId="7939284B" w14:textId="77777777" w:rsidTr="0064721D">
        <w:tc>
          <w:tcPr>
            <w:tcW w:w="2245" w:type="dxa"/>
          </w:tcPr>
          <w:p w14:paraId="7D609C58" w14:textId="77777777" w:rsidR="0064721D" w:rsidRPr="00B21ED9" w:rsidRDefault="0064721D" w:rsidP="001A036C">
            <w:pPr>
              <w:pStyle w:val="NoSpacing"/>
              <w:rPr>
                <w:b/>
              </w:rPr>
            </w:pPr>
            <w:r w:rsidRPr="00B21ED9">
              <w:rPr>
                <w:b/>
              </w:rPr>
              <w:t xml:space="preserve">Overview </w:t>
            </w:r>
          </w:p>
        </w:tc>
        <w:tc>
          <w:tcPr>
            <w:tcW w:w="7105" w:type="dxa"/>
          </w:tcPr>
          <w:p w14:paraId="7E5AE695" w14:textId="77777777" w:rsidR="0064721D" w:rsidRPr="00B21ED9" w:rsidRDefault="0064721D" w:rsidP="001A036C">
            <w:pPr>
              <w:pStyle w:val="NoSpacing"/>
            </w:pPr>
            <w:r w:rsidRPr="00B21ED9">
              <w:t>These studies focus on water table depth and soil texture as drivers of evapotranspiration and yield variability in two corn fields.</w:t>
            </w:r>
          </w:p>
          <w:p w14:paraId="004CE3D6" w14:textId="77777777" w:rsidR="0064721D" w:rsidRPr="00B21ED9" w:rsidRDefault="0064721D" w:rsidP="001A036C">
            <w:pPr>
              <w:pStyle w:val="NoSpacing"/>
            </w:pPr>
          </w:p>
          <w:p w14:paraId="20CD260B" w14:textId="77777777" w:rsidR="0064721D" w:rsidRPr="00B21ED9" w:rsidRDefault="0064721D" w:rsidP="001A036C">
            <w:pPr>
              <w:pStyle w:val="NoSpacing"/>
            </w:pPr>
            <w:r w:rsidRPr="00B21ED9">
              <w:t xml:space="preserve">The authors find that areas with shallow groundwater have high yields during dry years but yield losses during wet years, and areas with intermediate groundwater have consistently high yield across years. The optimum water table depth is shallower in coarse soils than in finer soils. </w:t>
            </w:r>
          </w:p>
        </w:tc>
      </w:tr>
      <w:tr w:rsidR="0064721D" w:rsidRPr="00B21ED9" w14:paraId="68F64612" w14:textId="77777777" w:rsidTr="0064721D">
        <w:tc>
          <w:tcPr>
            <w:tcW w:w="2245" w:type="dxa"/>
          </w:tcPr>
          <w:p w14:paraId="20CBCB98" w14:textId="77777777" w:rsidR="0064721D" w:rsidRPr="00B21ED9" w:rsidRDefault="0064721D" w:rsidP="001A036C">
            <w:pPr>
              <w:pStyle w:val="NoSpacing"/>
              <w:rPr>
                <w:b/>
              </w:rPr>
            </w:pPr>
            <w:r w:rsidRPr="00B21ED9">
              <w:rPr>
                <w:b/>
              </w:rPr>
              <w:t>Is drought resistance quantified? If so, how? Are drivers of drought resistance discussed?</w:t>
            </w:r>
          </w:p>
        </w:tc>
        <w:tc>
          <w:tcPr>
            <w:tcW w:w="7105" w:type="dxa"/>
          </w:tcPr>
          <w:p w14:paraId="454E53EB" w14:textId="77777777" w:rsidR="0064721D" w:rsidRPr="00B21ED9" w:rsidRDefault="0064721D" w:rsidP="001A036C">
            <w:pPr>
              <w:pStyle w:val="NoSpacing"/>
            </w:pPr>
            <w:r w:rsidRPr="00B21ED9">
              <w:t>Yes. Drought resistance is defined as areas within cornfields that experience high yield in both wet and dry growing seasons. This was quantified using evapotranspiration rates (2014 study), and spatially distributed yield data and biophysical modeling (2015 study). The primary drivers are soil texture (fine-grained = more resilient) and water table depth (within root zone = more resilient).</w:t>
            </w:r>
          </w:p>
        </w:tc>
      </w:tr>
      <w:tr w:rsidR="0064721D" w:rsidRPr="00B21ED9" w14:paraId="7D8E7A2A" w14:textId="77777777" w:rsidTr="0064721D">
        <w:tc>
          <w:tcPr>
            <w:tcW w:w="2245" w:type="dxa"/>
          </w:tcPr>
          <w:p w14:paraId="4AEB095D" w14:textId="77777777" w:rsidR="0064721D" w:rsidRPr="00B21ED9" w:rsidRDefault="0064721D" w:rsidP="001A036C">
            <w:pPr>
              <w:pStyle w:val="NoSpacing"/>
              <w:rPr>
                <w:b/>
              </w:rPr>
            </w:pPr>
            <w:r w:rsidRPr="00B21ED9">
              <w:rPr>
                <w:b/>
              </w:rPr>
              <w:t>Is drought resilience quantified? If so, how? Are drivers of drought resilience discussed?</w:t>
            </w:r>
          </w:p>
        </w:tc>
        <w:tc>
          <w:tcPr>
            <w:tcW w:w="7105" w:type="dxa"/>
          </w:tcPr>
          <w:p w14:paraId="35D3130C" w14:textId="77777777" w:rsidR="0064721D" w:rsidRPr="00B21ED9" w:rsidRDefault="0064721D" w:rsidP="001A036C">
            <w:pPr>
              <w:pStyle w:val="NoSpacing"/>
            </w:pPr>
            <w:r w:rsidRPr="00B21ED9">
              <w:t>No.</w:t>
            </w:r>
          </w:p>
        </w:tc>
      </w:tr>
    </w:tbl>
    <w:p w14:paraId="173000B1" w14:textId="77777777" w:rsidR="0064721D" w:rsidRDefault="0064721D">
      <w:r>
        <w:br w:type="page"/>
      </w:r>
    </w:p>
    <w:tbl>
      <w:tblPr>
        <w:tblStyle w:val="TableGrid"/>
        <w:tblW w:w="0" w:type="auto"/>
        <w:tblLook w:val="04A0" w:firstRow="1" w:lastRow="0" w:firstColumn="1" w:lastColumn="0" w:noHBand="0" w:noVBand="1"/>
      </w:tblPr>
      <w:tblGrid>
        <w:gridCol w:w="2245"/>
        <w:gridCol w:w="7105"/>
      </w:tblGrid>
      <w:tr w:rsidR="00B76DFD" w:rsidRPr="00B21ED9" w14:paraId="69C0CFB8" w14:textId="77777777" w:rsidTr="00703DBD">
        <w:tc>
          <w:tcPr>
            <w:tcW w:w="2245" w:type="dxa"/>
          </w:tcPr>
          <w:p w14:paraId="432B253D" w14:textId="5DF1900C" w:rsidR="00B76DFD" w:rsidRPr="00B21ED9" w:rsidRDefault="00B76DFD" w:rsidP="00703DBD">
            <w:pPr>
              <w:pStyle w:val="NoSpacing"/>
              <w:rPr>
                <w:b/>
              </w:rPr>
            </w:pPr>
            <w:r w:rsidRPr="00B21ED9">
              <w:rPr>
                <w:b/>
              </w:rPr>
              <w:lastRenderedPageBreak/>
              <w:t>Citation</w:t>
            </w:r>
            <w:r w:rsidR="00503EBE" w:rsidRPr="00B21ED9">
              <w:rPr>
                <w:b/>
              </w:rPr>
              <w:t>(s)</w:t>
            </w:r>
          </w:p>
        </w:tc>
        <w:tc>
          <w:tcPr>
            <w:tcW w:w="7105" w:type="dxa"/>
          </w:tcPr>
          <w:p w14:paraId="69407B23" w14:textId="5AC5D4F9" w:rsidR="00B76DFD" w:rsidRPr="00B21ED9" w:rsidRDefault="00B76DFD" w:rsidP="00B76DFD">
            <w:pPr>
              <w:rPr>
                <w:rFonts w:eastAsia="Times New Roman" w:cs="Times New Roman"/>
              </w:rPr>
            </w:pPr>
            <w:r w:rsidRPr="00B76DFD">
              <w:rPr>
                <w:rFonts w:eastAsia="Times New Roman" w:cs="Times New Roman"/>
              </w:rPr>
              <w:t xml:space="preserve">Gaeta, J. W., G. G. Sass, and S. R. Carpenter (2014), Drought-driven lake level decline: effects on coarse woody habitat and fishes, </w:t>
            </w:r>
            <w:r w:rsidRPr="00B76DFD">
              <w:rPr>
                <w:rFonts w:eastAsia="Times New Roman" w:cs="Times New Roman"/>
                <w:i/>
                <w:iCs/>
              </w:rPr>
              <w:t>Can. J. Fish. Aquat. Sci.</w:t>
            </w:r>
            <w:r w:rsidRPr="00B76DFD">
              <w:rPr>
                <w:rFonts w:eastAsia="Times New Roman" w:cs="Times New Roman"/>
              </w:rPr>
              <w:t xml:space="preserve">, </w:t>
            </w:r>
            <w:r w:rsidRPr="00B76DFD">
              <w:rPr>
                <w:rFonts w:eastAsia="Times New Roman" w:cs="Times New Roman"/>
                <w:i/>
                <w:iCs/>
              </w:rPr>
              <w:t>71</w:t>
            </w:r>
            <w:r w:rsidRPr="00B76DFD">
              <w:rPr>
                <w:rFonts w:eastAsia="Times New Roman" w:cs="Times New Roman"/>
              </w:rPr>
              <w:t>(2), 315–325, doi:10.1139/cjfas-2013-0451.</w:t>
            </w:r>
          </w:p>
        </w:tc>
      </w:tr>
      <w:tr w:rsidR="00B76DFD" w:rsidRPr="00B21ED9" w14:paraId="0C60377B" w14:textId="77777777" w:rsidTr="00703DBD">
        <w:tc>
          <w:tcPr>
            <w:tcW w:w="2245" w:type="dxa"/>
          </w:tcPr>
          <w:p w14:paraId="24EDB62A" w14:textId="77777777" w:rsidR="00B76DFD" w:rsidRPr="00B21ED9" w:rsidRDefault="00B76DFD" w:rsidP="00703DBD">
            <w:pPr>
              <w:pStyle w:val="NoSpacing"/>
              <w:rPr>
                <w:b/>
              </w:rPr>
            </w:pPr>
            <w:r w:rsidRPr="00B21ED9">
              <w:rPr>
                <w:b/>
              </w:rPr>
              <w:t>LTER Site</w:t>
            </w:r>
          </w:p>
        </w:tc>
        <w:tc>
          <w:tcPr>
            <w:tcW w:w="7105" w:type="dxa"/>
          </w:tcPr>
          <w:p w14:paraId="4E722773" w14:textId="1A22F7E4" w:rsidR="00B76DFD" w:rsidRPr="00B21ED9" w:rsidRDefault="00B76DFD" w:rsidP="00B76DFD">
            <w:pPr>
              <w:pStyle w:val="NoSpacing"/>
            </w:pPr>
            <w:r w:rsidRPr="00B21ED9">
              <w:t>North Temperate Lakes (Trout Lake Region)</w:t>
            </w:r>
          </w:p>
        </w:tc>
      </w:tr>
      <w:tr w:rsidR="00B76DFD" w:rsidRPr="00B21ED9" w14:paraId="5E65B5F2" w14:textId="77777777" w:rsidTr="00703DBD">
        <w:tc>
          <w:tcPr>
            <w:tcW w:w="2245" w:type="dxa"/>
          </w:tcPr>
          <w:p w14:paraId="623D0ED9" w14:textId="77777777" w:rsidR="00B76DFD" w:rsidRPr="00B21ED9" w:rsidRDefault="00B76DFD" w:rsidP="00703DBD">
            <w:pPr>
              <w:pStyle w:val="NoSpacing"/>
              <w:rPr>
                <w:b/>
              </w:rPr>
            </w:pPr>
            <w:r w:rsidRPr="00B21ED9">
              <w:rPr>
                <w:b/>
              </w:rPr>
              <w:t>Ecosystem</w:t>
            </w:r>
          </w:p>
        </w:tc>
        <w:tc>
          <w:tcPr>
            <w:tcW w:w="7105" w:type="dxa"/>
          </w:tcPr>
          <w:p w14:paraId="5B6F7844" w14:textId="3A6C0D5E" w:rsidR="00B76DFD" w:rsidRPr="00B21ED9" w:rsidRDefault="00503EBE" w:rsidP="00703DBD">
            <w:pPr>
              <w:pStyle w:val="NoSpacing"/>
            </w:pPr>
            <w:r w:rsidRPr="00B21ED9">
              <w:t>Lake fishes</w:t>
            </w:r>
            <w:r w:rsidR="00B76DFD" w:rsidRPr="00B21ED9">
              <w:t xml:space="preserve"> (Little Rock Lake South)</w:t>
            </w:r>
          </w:p>
        </w:tc>
      </w:tr>
      <w:tr w:rsidR="00B76DFD" w:rsidRPr="00B21ED9" w14:paraId="1AD798DD" w14:textId="77777777" w:rsidTr="00703DBD">
        <w:tc>
          <w:tcPr>
            <w:tcW w:w="2245" w:type="dxa"/>
          </w:tcPr>
          <w:p w14:paraId="36224E21" w14:textId="024D88FC" w:rsidR="00B76DFD" w:rsidRPr="00B21ED9" w:rsidRDefault="00B76DFD" w:rsidP="00703DBD">
            <w:pPr>
              <w:pStyle w:val="NoSpacing"/>
              <w:rPr>
                <w:b/>
              </w:rPr>
            </w:pPr>
            <w:r w:rsidRPr="00B21ED9">
              <w:rPr>
                <w:b/>
              </w:rPr>
              <w:t>Overview</w:t>
            </w:r>
          </w:p>
        </w:tc>
        <w:tc>
          <w:tcPr>
            <w:tcW w:w="7105" w:type="dxa"/>
          </w:tcPr>
          <w:p w14:paraId="1CFE604C" w14:textId="77777777" w:rsidR="00B76DFD" w:rsidRPr="00B21ED9" w:rsidRDefault="00B76DFD" w:rsidP="00B76DFD">
            <w:pPr>
              <w:pStyle w:val="NoSpacing"/>
            </w:pPr>
            <w:r w:rsidRPr="00B21ED9">
              <w:t xml:space="preserve">This study focuses on the impacts of drought-driven lake level decline on the availability of coarse woody habitat, and the effects this has on fish. </w:t>
            </w:r>
          </w:p>
          <w:p w14:paraId="3A37F19C" w14:textId="77777777" w:rsidR="00B76DFD" w:rsidRPr="00B21ED9" w:rsidRDefault="00B76DFD" w:rsidP="00B76DFD">
            <w:pPr>
              <w:pStyle w:val="NoSpacing"/>
            </w:pPr>
          </w:p>
          <w:p w14:paraId="5D1C1ED4" w14:textId="65C10DB6" w:rsidR="00B76DFD" w:rsidRPr="00B21ED9" w:rsidRDefault="00B76DFD" w:rsidP="00B76DFD">
            <w:pPr>
              <w:pStyle w:val="NoSpacing"/>
            </w:pPr>
            <w:r w:rsidRPr="00B21ED9">
              <w:t xml:space="preserve">The authors find that observed reductions in lake levels led to a &gt;75% loss in coarse woody habitat, which coincided with decline in forage fish population and reduced growth of top predator. </w:t>
            </w:r>
          </w:p>
        </w:tc>
      </w:tr>
      <w:tr w:rsidR="00B76DFD" w:rsidRPr="00B21ED9" w14:paraId="67EC24D4" w14:textId="77777777" w:rsidTr="00703DBD">
        <w:tc>
          <w:tcPr>
            <w:tcW w:w="2245" w:type="dxa"/>
          </w:tcPr>
          <w:p w14:paraId="7F01FEAB" w14:textId="77777777" w:rsidR="00B76DFD" w:rsidRPr="00B21ED9" w:rsidRDefault="00B76DFD" w:rsidP="00703DBD">
            <w:pPr>
              <w:pStyle w:val="NoSpacing"/>
              <w:rPr>
                <w:b/>
              </w:rPr>
            </w:pPr>
            <w:r w:rsidRPr="00B21ED9">
              <w:rPr>
                <w:b/>
              </w:rPr>
              <w:t>Is drought resistance quantified? If so, how? Are drivers of drought resistance discussed?</w:t>
            </w:r>
          </w:p>
        </w:tc>
        <w:tc>
          <w:tcPr>
            <w:tcW w:w="7105" w:type="dxa"/>
          </w:tcPr>
          <w:p w14:paraId="0A93ECB2" w14:textId="1C0D648B" w:rsidR="00B76DFD" w:rsidRPr="00B21ED9" w:rsidRDefault="00E23001" w:rsidP="00703DBD">
            <w:pPr>
              <w:pStyle w:val="NoSpacing"/>
            </w:pPr>
            <w:r>
              <w:t>No, but can be extrapolated based on the conclusions – a more drought-resistant lake would have (1) less water level change in response to drought and/or (2) coarse woody habitat spread more evenly over a larger depth range.</w:t>
            </w:r>
          </w:p>
        </w:tc>
      </w:tr>
      <w:tr w:rsidR="00B76DFD" w:rsidRPr="00B21ED9" w14:paraId="34063FD3" w14:textId="77777777" w:rsidTr="00703DBD">
        <w:tc>
          <w:tcPr>
            <w:tcW w:w="2245" w:type="dxa"/>
          </w:tcPr>
          <w:p w14:paraId="694DD3BF" w14:textId="77777777" w:rsidR="00B76DFD" w:rsidRPr="00B21ED9" w:rsidRDefault="00B76DFD" w:rsidP="00703DBD">
            <w:pPr>
              <w:pStyle w:val="NoSpacing"/>
              <w:rPr>
                <w:b/>
              </w:rPr>
            </w:pPr>
            <w:r w:rsidRPr="00B21ED9">
              <w:rPr>
                <w:b/>
              </w:rPr>
              <w:t>Is drought resilience quantified? If so, how? Are drivers of drought resilience discussed?</w:t>
            </w:r>
          </w:p>
        </w:tc>
        <w:tc>
          <w:tcPr>
            <w:tcW w:w="7105" w:type="dxa"/>
          </w:tcPr>
          <w:p w14:paraId="69C13474" w14:textId="2EF18379" w:rsidR="00B76DFD" w:rsidRPr="00B21ED9" w:rsidRDefault="00B76DFD" w:rsidP="00703DBD">
            <w:pPr>
              <w:pStyle w:val="NoSpacing"/>
            </w:pPr>
            <w:r w:rsidRPr="00B21ED9">
              <w:t>No.</w:t>
            </w:r>
          </w:p>
        </w:tc>
      </w:tr>
    </w:tbl>
    <w:p w14:paraId="1639CC37" w14:textId="77777777" w:rsidR="00503EBE" w:rsidRPr="00B21ED9" w:rsidRDefault="00503EBE"/>
    <w:p w14:paraId="60E6CA61" w14:textId="77777777" w:rsidR="00B21ED9" w:rsidRPr="00B21ED9" w:rsidRDefault="00B21ED9">
      <w:r w:rsidRPr="00B21ED9">
        <w:br w:type="page"/>
      </w:r>
    </w:p>
    <w:tbl>
      <w:tblPr>
        <w:tblStyle w:val="TableGrid"/>
        <w:tblW w:w="0" w:type="auto"/>
        <w:tblLook w:val="04A0" w:firstRow="1" w:lastRow="0" w:firstColumn="1" w:lastColumn="0" w:noHBand="0" w:noVBand="1"/>
      </w:tblPr>
      <w:tblGrid>
        <w:gridCol w:w="2245"/>
        <w:gridCol w:w="7105"/>
      </w:tblGrid>
      <w:tr w:rsidR="00503EBE" w:rsidRPr="00B21ED9" w14:paraId="5C8A70BE" w14:textId="77777777" w:rsidTr="00703DBD">
        <w:tc>
          <w:tcPr>
            <w:tcW w:w="2245" w:type="dxa"/>
          </w:tcPr>
          <w:p w14:paraId="425C170C" w14:textId="5AD96439" w:rsidR="00503EBE" w:rsidRPr="00B21ED9" w:rsidRDefault="00503EBE" w:rsidP="00703DBD">
            <w:pPr>
              <w:pStyle w:val="NoSpacing"/>
              <w:rPr>
                <w:b/>
              </w:rPr>
            </w:pPr>
            <w:r w:rsidRPr="00B21ED9">
              <w:rPr>
                <w:b/>
              </w:rPr>
              <w:lastRenderedPageBreak/>
              <w:t>Citation(s)</w:t>
            </w:r>
          </w:p>
        </w:tc>
        <w:tc>
          <w:tcPr>
            <w:tcW w:w="7105" w:type="dxa"/>
          </w:tcPr>
          <w:p w14:paraId="5E7053B1" w14:textId="77777777" w:rsidR="00503EBE" w:rsidRPr="00B21ED9" w:rsidRDefault="00503EBE" w:rsidP="00503EBE">
            <w:pPr>
              <w:rPr>
                <w:rFonts w:eastAsia="Times New Roman" w:cs="Times New Roman"/>
              </w:rPr>
            </w:pPr>
            <w:r w:rsidRPr="00503EBE">
              <w:rPr>
                <w:rFonts w:eastAsia="Times New Roman" w:cs="Times New Roman"/>
              </w:rPr>
              <w:t xml:space="preserve">Webster, K. E., T. K. Kratz, C. J. Bowser, J. J. Magnuson, and W. J. Rose (1996), The influence of landscape position on lake chemical responses to drought in northern Wisconsin, </w:t>
            </w:r>
            <w:r w:rsidRPr="00503EBE">
              <w:rPr>
                <w:rFonts w:eastAsia="Times New Roman" w:cs="Times New Roman"/>
                <w:i/>
                <w:iCs/>
              </w:rPr>
              <w:t>Limnol. Oceanogr.</w:t>
            </w:r>
            <w:r w:rsidRPr="00503EBE">
              <w:rPr>
                <w:rFonts w:eastAsia="Times New Roman" w:cs="Times New Roman"/>
              </w:rPr>
              <w:t xml:space="preserve">, </w:t>
            </w:r>
            <w:r w:rsidRPr="00503EBE">
              <w:rPr>
                <w:rFonts w:eastAsia="Times New Roman" w:cs="Times New Roman"/>
                <w:i/>
                <w:iCs/>
              </w:rPr>
              <w:t>41</w:t>
            </w:r>
            <w:r w:rsidRPr="00503EBE">
              <w:rPr>
                <w:rFonts w:eastAsia="Times New Roman" w:cs="Times New Roman"/>
              </w:rPr>
              <w:t>(5), 977–984.</w:t>
            </w:r>
          </w:p>
          <w:p w14:paraId="0ED62D3F" w14:textId="77777777" w:rsidR="00503EBE" w:rsidRPr="00503EBE" w:rsidRDefault="00503EBE" w:rsidP="00503EBE">
            <w:pPr>
              <w:rPr>
                <w:rFonts w:eastAsia="Times New Roman" w:cs="Times New Roman"/>
              </w:rPr>
            </w:pPr>
          </w:p>
          <w:p w14:paraId="38BA00A0" w14:textId="178F000A" w:rsidR="00503EBE" w:rsidRPr="00B21ED9" w:rsidRDefault="00503EBE" w:rsidP="00503EBE">
            <w:pPr>
              <w:rPr>
                <w:rFonts w:eastAsia="Times New Roman" w:cs="Times New Roman"/>
              </w:rPr>
            </w:pPr>
            <w:r w:rsidRPr="00503EBE">
              <w:rPr>
                <w:rFonts w:eastAsia="Times New Roman" w:cs="Times New Roman"/>
              </w:rPr>
              <w:t xml:space="preserve">Webster, K. E. (1998), Responses of lakes to drought: geomorphic and landscape controls, </w:t>
            </w:r>
            <w:r w:rsidRPr="00B21ED9">
              <w:rPr>
                <w:rFonts w:eastAsia="Times New Roman" w:cs="Times New Roman"/>
              </w:rPr>
              <w:t xml:space="preserve">Dissertation: </w:t>
            </w:r>
            <w:r w:rsidRPr="00503EBE">
              <w:rPr>
                <w:rFonts w:eastAsia="Times New Roman" w:cs="Times New Roman"/>
              </w:rPr>
              <w:t>University of Wisconsin-Madison.</w:t>
            </w:r>
          </w:p>
          <w:p w14:paraId="499295F0" w14:textId="77777777" w:rsidR="00503EBE" w:rsidRPr="00503EBE" w:rsidRDefault="00503EBE" w:rsidP="00503EBE">
            <w:pPr>
              <w:rPr>
                <w:rFonts w:eastAsia="Times New Roman" w:cs="Times New Roman"/>
              </w:rPr>
            </w:pPr>
          </w:p>
          <w:p w14:paraId="61ED029F" w14:textId="64015007" w:rsidR="00503EBE" w:rsidRPr="00B21ED9" w:rsidRDefault="00503EBE" w:rsidP="00703DBD">
            <w:pPr>
              <w:rPr>
                <w:rFonts w:eastAsia="Times New Roman" w:cs="Times New Roman"/>
              </w:rPr>
            </w:pPr>
            <w:r w:rsidRPr="00503EBE">
              <w:rPr>
                <w:rFonts w:eastAsia="Times New Roman" w:cs="Times New Roman"/>
              </w:rPr>
              <w:t xml:space="preserve">Webster, K. E., P. A. Soranno, S. B. Baines, T. K. Kratz, C. J. Bowser, P. J. Dillon, P. Campbell, E. J. Fee, and R. E. Hecky (2000), Structuring features of lake districts: landscape controls on lake chemical responses to drought, </w:t>
            </w:r>
            <w:r w:rsidRPr="00503EBE">
              <w:rPr>
                <w:rFonts w:eastAsia="Times New Roman" w:cs="Times New Roman"/>
                <w:i/>
                <w:iCs/>
              </w:rPr>
              <w:t>Freshw. Biol.</w:t>
            </w:r>
            <w:r w:rsidRPr="00503EBE">
              <w:rPr>
                <w:rFonts w:eastAsia="Times New Roman" w:cs="Times New Roman"/>
              </w:rPr>
              <w:t xml:space="preserve">, </w:t>
            </w:r>
            <w:r w:rsidRPr="00503EBE">
              <w:rPr>
                <w:rFonts w:eastAsia="Times New Roman" w:cs="Times New Roman"/>
                <w:i/>
                <w:iCs/>
              </w:rPr>
              <w:t>43</w:t>
            </w:r>
            <w:r w:rsidRPr="00503EBE">
              <w:rPr>
                <w:rFonts w:eastAsia="Times New Roman" w:cs="Times New Roman"/>
              </w:rPr>
              <w:t>(3), 499–515, doi:10.1046/j.1365-2427.2000.00571.x.</w:t>
            </w:r>
          </w:p>
        </w:tc>
      </w:tr>
      <w:tr w:rsidR="00503EBE" w:rsidRPr="00B21ED9" w14:paraId="741DCA58" w14:textId="77777777" w:rsidTr="00703DBD">
        <w:tc>
          <w:tcPr>
            <w:tcW w:w="2245" w:type="dxa"/>
          </w:tcPr>
          <w:p w14:paraId="461400D7" w14:textId="77777777" w:rsidR="00503EBE" w:rsidRPr="00B21ED9" w:rsidRDefault="00503EBE" w:rsidP="00703DBD">
            <w:pPr>
              <w:pStyle w:val="NoSpacing"/>
              <w:rPr>
                <w:b/>
              </w:rPr>
            </w:pPr>
            <w:r w:rsidRPr="00B21ED9">
              <w:rPr>
                <w:b/>
              </w:rPr>
              <w:t>LTER Site</w:t>
            </w:r>
          </w:p>
        </w:tc>
        <w:tc>
          <w:tcPr>
            <w:tcW w:w="7105" w:type="dxa"/>
          </w:tcPr>
          <w:p w14:paraId="08710D74" w14:textId="5E499DBF" w:rsidR="00503EBE" w:rsidRPr="00B21ED9" w:rsidRDefault="00503EBE" w:rsidP="00703DBD">
            <w:pPr>
              <w:pStyle w:val="NoSpacing"/>
            </w:pPr>
            <w:r w:rsidRPr="00B21ED9">
              <w:t>North Temperate Lakes (Trout Lake Region)</w:t>
            </w:r>
          </w:p>
        </w:tc>
      </w:tr>
      <w:tr w:rsidR="00503EBE" w:rsidRPr="00B21ED9" w14:paraId="5C6CB8FF" w14:textId="77777777" w:rsidTr="00703DBD">
        <w:tc>
          <w:tcPr>
            <w:tcW w:w="2245" w:type="dxa"/>
          </w:tcPr>
          <w:p w14:paraId="35E87C71" w14:textId="77777777" w:rsidR="00503EBE" w:rsidRPr="00B21ED9" w:rsidRDefault="00503EBE" w:rsidP="00703DBD">
            <w:pPr>
              <w:pStyle w:val="NoSpacing"/>
              <w:rPr>
                <w:b/>
              </w:rPr>
            </w:pPr>
            <w:r w:rsidRPr="00B21ED9">
              <w:rPr>
                <w:b/>
              </w:rPr>
              <w:t>Ecosystem</w:t>
            </w:r>
          </w:p>
        </w:tc>
        <w:tc>
          <w:tcPr>
            <w:tcW w:w="7105" w:type="dxa"/>
          </w:tcPr>
          <w:p w14:paraId="32FAD93D" w14:textId="00C62E12" w:rsidR="00503EBE" w:rsidRPr="00B21ED9" w:rsidRDefault="00503EBE" w:rsidP="00503EBE">
            <w:pPr>
              <w:pStyle w:val="NoSpacing"/>
            </w:pPr>
            <w:r w:rsidRPr="00B21ED9">
              <w:t>Lake chemistry (multiple lakes)</w:t>
            </w:r>
            <w:r w:rsidR="009D47B7" w:rsidRPr="00B21ED9">
              <w:t>. Also compares Wisconsin lakes to some lake districts in Ontario.</w:t>
            </w:r>
          </w:p>
        </w:tc>
      </w:tr>
      <w:tr w:rsidR="00503EBE" w:rsidRPr="00B21ED9" w14:paraId="20729B79" w14:textId="77777777" w:rsidTr="00703DBD">
        <w:tc>
          <w:tcPr>
            <w:tcW w:w="2245" w:type="dxa"/>
          </w:tcPr>
          <w:p w14:paraId="5202058C" w14:textId="77777777" w:rsidR="00503EBE" w:rsidRPr="00B21ED9" w:rsidRDefault="00503EBE" w:rsidP="00703DBD">
            <w:pPr>
              <w:pStyle w:val="NoSpacing"/>
              <w:rPr>
                <w:b/>
              </w:rPr>
            </w:pPr>
            <w:r w:rsidRPr="00B21ED9">
              <w:rPr>
                <w:b/>
              </w:rPr>
              <w:t>Overview</w:t>
            </w:r>
          </w:p>
        </w:tc>
        <w:tc>
          <w:tcPr>
            <w:tcW w:w="7105" w:type="dxa"/>
          </w:tcPr>
          <w:p w14:paraId="329BAFD1" w14:textId="27D2345F" w:rsidR="00503EBE" w:rsidRPr="00B21ED9" w:rsidRDefault="00503EBE" w:rsidP="00703DBD">
            <w:pPr>
              <w:pStyle w:val="NoSpacing"/>
            </w:pPr>
            <w:r w:rsidRPr="00B21ED9">
              <w:t>This study focuses o</w:t>
            </w:r>
            <w:r w:rsidR="009D47B7" w:rsidRPr="00B21ED9">
              <w:t>n the chemical response of lakes to drought.</w:t>
            </w:r>
          </w:p>
          <w:p w14:paraId="19B4A43E" w14:textId="77777777" w:rsidR="00503EBE" w:rsidRPr="00B21ED9" w:rsidRDefault="00503EBE" w:rsidP="00703DBD">
            <w:pPr>
              <w:pStyle w:val="NoSpacing"/>
            </w:pPr>
          </w:p>
          <w:p w14:paraId="420DA4A8" w14:textId="3D62EB29" w:rsidR="00503EBE" w:rsidRPr="00B21ED9" w:rsidRDefault="00503EBE" w:rsidP="00B2676F">
            <w:pPr>
              <w:pStyle w:val="NoSpacing"/>
            </w:pPr>
            <w:r w:rsidRPr="00B21ED9">
              <w:t>The authors find</w:t>
            </w:r>
            <w:r w:rsidR="009D47B7" w:rsidRPr="00B21ED9">
              <w:t xml:space="preserve"> that, in Wisconsin, chemical response to drought is strongly controlled by the local hydrologic setting. In groundwater-dominated </w:t>
            </w:r>
            <w:r w:rsidR="00B2676F" w:rsidRPr="00B21ED9">
              <w:t>lakes, cation mass tended to increase during drought, and had a slow return to pre-drought conditions. In precipitation-dominated lakes, cation mass decreased during drought and had a more rapid return to pre-drought conditions.</w:t>
            </w:r>
          </w:p>
        </w:tc>
      </w:tr>
      <w:tr w:rsidR="00503EBE" w:rsidRPr="00B21ED9" w14:paraId="3597FB94" w14:textId="77777777" w:rsidTr="00703DBD">
        <w:tc>
          <w:tcPr>
            <w:tcW w:w="2245" w:type="dxa"/>
          </w:tcPr>
          <w:p w14:paraId="67C32DA6" w14:textId="77777777" w:rsidR="00503EBE" w:rsidRPr="00B21ED9" w:rsidRDefault="00503EBE" w:rsidP="00703DBD">
            <w:pPr>
              <w:pStyle w:val="NoSpacing"/>
              <w:rPr>
                <w:b/>
              </w:rPr>
            </w:pPr>
            <w:r w:rsidRPr="00B21ED9">
              <w:rPr>
                <w:b/>
              </w:rPr>
              <w:t>Is drought resistance quantified? If so, how? Are drivers of drought resistance discussed?</w:t>
            </w:r>
          </w:p>
        </w:tc>
        <w:tc>
          <w:tcPr>
            <w:tcW w:w="7105" w:type="dxa"/>
          </w:tcPr>
          <w:p w14:paraId="0F8047E5" w14:textId="0DB17A8D" w:rsidR="00B2676F" w:rsidRPr="00B21ED9" w:rsidRDefault="00B2676F" w:rsidP="00703DBD">
            <w:pPr>
              <w:pStyle w:val="NoSpacing"/>
            </w:pPr>
            <w:r w:rsidRPr="00B21ED9">
              <w:t>Yes, in several ways.</w:t>
            </w:r>
          </w:p>
          <w:p w14:paraId="526AFCF6" w14:textId="77777777" w:rsidR="00B2676F" w:rsidRPr="00B21ED9" w:rsidRDefault="00B2676F" w:rsidP="00703DBD">
            <w:pPr>
              <w:pStyle w:val="NoSpacing"/>
            </w:pPr>
          </w:p>
          <w:p w14:paraId="6D773F75" w14:textId="177EE602" w:rsidR="00503EBE" w:rsidRPr="00B21ED9" w:rsidRDefault="00B2676F" w:rsidP="00703DBD">
            <w:pPr>
              <w:pStyle w:val="NoSpacing"/>
            </w:pPr>
            <w:r w:rsidRPr="00B21ED9">
              <w:t>Declines in lake level in response to the drought were compared amongst lakes. The authors find that lakes lower in the landscape with strong groundwater inflow had a reduced response to drought (1996 study).</w:t>
            </w:r>
          </w:p>
          <w:p w14:paraId="12CA6065" w14:textId="77777777" w:rsidR="00B2676F" w:rsidRPr="00B21ED9" w:rsidRDefault="00B2676F" w:rsidP="00703DBD">
            <w:pPr>
              <w:pStyle w:val="NoSpacing"/>
            </w:pPr>
          </w:p>
          <w:p w14:paraId="45BB1817" w14:textId="0FF348BB" w:rsidR="00B2676F" w:rsidRPr="00B21ED9" w:rsidRDefault="00B2676F" w:rsidP="00703DBD">
            <w:pPr>
              <w:pStyle w:val="NoSpacing"/>
            </w:pPr>
            <w:r w:rsidRPr="00B21ED9">
              <w:t>Lakes with longer water residence times had a smaller chemical response to drought (1996 study).</w:t>
            </w:r>
          </w:p>
        </w:tc>
      </w:tr>
      <w:tr w:rsidR="00503EBE" w:rsidRPr="00B21ED9" w14:paraId="775A5941" w14:textId="77777777" w:rsidTr="00703DBD">
        <w:tc>
          <w:tcPr>
            <w:tcW w:w="2245" w:type="dxa"/>
          </w:tcPr>
          <w:p w14:paraId="229B32B6" w14:textId="77777777" w:rsidR="00503EBE" w:rsidRPr="00B21ED9" w:rsidRDefault="00503EBE" w:rsidP="00703DBD">
            <w:pPr>
              <w:pStyle w:val="NoSpacing"/>
              <w:rPr>
                <w:b/>
              </w:rPr>
            </w:pPr>
            <w:r w:rsidRPr="00B21ED9">
              <w:rPr>
                <w:b/>
              </w:rPr>
              <w:t>Is drought resilience quantified? If so, how? Are drivers of drought resilience discussed?</w:t>
            </w:r>
          </w:p>
        </w:tc>
        <w:tc>
          <w:tcPr>
            <w:tcW w:w="7105" w:type="dxa"/>
          </w:tcPr>
          <w:p w14:paraId="414FE50F" w14:textId="77777777" w:rsidR="00503EBE" w:rsidRPr="00B21ED9" w:rsidRDefault="00B2676F" w:rsidP="00703DBD">
            <w:pPr>
              <w:pStyle w:val="NoSpacing"/>
            </w:pPr>
            <w:r w:rsidRPr="00B21ED9">
              <w:t xml:space="preserve">Yes, in several ways. </w:t>
            </w:r>
          </w:p>
          <w:p w14:paraId="4907EDBB" w14:textId="77777777" w:rsidR="00B2676F" w:rsidRPr="00B21ED9" w:rsidRDefault="00B2676F" w:rsidP="00703DBD">
            <w:pPr>
              <w:pStyle w:val="NoSpacing"/>
            </w:pPr>
          </w:p>
          <w:p w14:paraId="0339E0BD" w14:textId="77777777" w:rsidR="00B2676F" w:rsidRPr="00B21ED9" w:rsidRDefault="00B2676F" w:rsidP="00703DBD">
            <w:pPr>
              <w:pStyle w:val="NoSpacing"/>
            </w:pPr>
            <w:r w:rsidRPr="00B21ED9">
              <w:t xml:space="preserve">Lakes with stronger groundwater inflow returned to pre-drought lake levels more quickly (1996 study). </w:t>
            </w:r>
          </w:p>
          <w:p w14:paraId="5E6F6BFB" w14:textId="77777777" w:rsidR="00B2676F" w:rsidRPr="00B21ED9" w:rsidRDefault="00B2676F" w:rsidP="00703DBD">
            <w:pPr>
              <w:pStyle w:val="NoSpacing"/>
            </w:pPr>
          </w:p>
          <w:p w14:paraId="36F530B5" w14:textId="738E544C" w:rsidR="00B2676F" w:rsidRPr="00B21ED9" w:rsidRDefault="00B2676F" w:rsidP="00703DBD">
            <w:pPr>
              <w:pStyle w:val="NoSpacing"/>
            </w:pPr>
            <w:r w:rsidRPr="00B21ED9">
              <w:t>Lakes with less groundwater inflow returned to pre-drought chemical concentrations more quickly (2000 study)</w:t>
            </w:r>
          </w:p>
        </w:tc>
      </w:tr>
    </w:tbl>
    <w:p w14:paraId="36B76A26" w14:textId="0B9FABA9" w:rsidR="00993905" w:rsidRPr="00B21ED9" w:rsidRDefault="00993905" w:rsidP="0064721D"/>
    <w:sectPr w:rsidR="00993905" w:rsidRPr="00B2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91F"/>
    <w:multiLevelType w:val="hybridMultilevel"/>
    <w:tmpl w:val="5538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E97"/>
    <w:multiLevelType w:val="hybridMultilevel"/>
    <w:tmpl w:val="8D7E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06C2A"/>
    <w:multiLevelType w:val="hybridMultilevel"/>
    <w:tmpl w:val="8D7E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5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B318F8"/>
    <w:multiLevelType w:val="hybridMultilevel"/>
    <w:tmpl w:val="351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D71AB"/>
    <w:multiLevelType w:val="hybridMultilevel"/>
    <w:tmpl w:val="20B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6FC8"/>
    <w:multiLevelType w:val="hybridMultilevel"/>
    <w:tmpl w:val="364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F35F3"/>
    <w:multiLevelType w:val="hybridMultilevel"/>
    <w:tmpl w:val="EC7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926E1"/>
    <w:multiLevelType w:val="hybridMultilevel"/>
    <w:tmpl w:val="8C6C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409DA"/>
    <w:multiLevelType w:val="hybridMultilevel"/>
    <w:tmpl w:val="460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F70C5"/>
    <w:multiLevelType w:val="hybridMultilevel"/>
    <w:tmpl w:val="1634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25D73"/>
    <w:multiLevelType w:val="hybridMultilevel"/>
    <w:tmpl w:val="B956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11"/>
  </w:num>
  <w:num w:numId="6">
    <w:abstractNumId w:val="0"/>
  </w:num>
  <w:num w:numId="7">
    <w:abstractNumId w:val="5"/>
  </w:num>
  <w:num w:numId="8">
    <w:abstractNumId w:val="6"/>
  </w:num>
  <w:num w:numId="9">
    <w:abstractNumId w:val="1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7"/>
    <w:rsid w:val="0007689B"/>
    <w:rsid w:val="00130E82"/>
    <w:rsid w:val="00312111"/>
    <w:rsid w:val="005022E6"/>
    <w:rsid w:val="00503EBE"/>
    <w:rsid w:val="00604ED0"/>
    <w:rsid w:val="0064721D"/>
    <w:rsid w:val="00656C13"/>
    <w:rsid w:val="00703DBD"/>
    <w:rsid w:val="00741A88"/>
    <w:rsid w:val="007447E7"/>
    <w:rsid w:val="0075369A"/>
    <w:rsid w:val="007C6527"/>
    <w:rsid w:val="007E362C"/>
    <w:rsid w:val="00993905"/>
    <w:rsid w:val="009D47B7"/>
    <w:rsid w:val="00AD64E4"/>
    <w:rsid w:val="00AF3A7C"/>
    <w:rsid w:val="00B21ED9"/>
    <w:rsid w:val="00B2676F"/>
    <w:rsid w:val="00B76DFD"/>
    <w:rsid w:val="00BE43CD"/>
    <w:rsid w:val="00C95F34"/>
    <w:rsid w:val="00D914A1"/>
    <w:rsid w:val="00E02940"/>
    <w:rsid w:val="00E06B1E"/>
    <w:rsid w:val="00E23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1ACD5"/>
  <w15:docId w15:val="{71333D32-52CD-470B-99FC-DD740714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3CD"/>
    <w:pPr>
      <w:spacing w:after="0" w:line="240" w:lineRule="auto"/>
    </w:pPr>
  </w:style>
  <w:style w:type="character" w:styleId="CommentReference">
    <w:name w:val="annotation reference"/>
    <w:basedOn w:val="DefaultParagraphFont"/>
    <w:uiPriority w:val="99"/>
    <w:semiHidden/>
    <w:unhideWhenUsed/>
    <w:rsid w:val="00BE43CD"/>
    <w:rPr>
      <w:sz w:val="16"/>
      <w:szCs w:val="16"/>
    </w:rPr>
  </w:style>
  <w:style w:type="paragraph" w:styleId="CommentText">
    <w:name w:val="annotation text"/>
    <w:basedOn w:val="Normal"/>
    <w:link w:val="CommentTextChar"/>
    <w:uiPriority w:val="99"/>
    <w:semiHidden/>
    <w:unhideWhenUsed/>
    <w:rsid w:val="00BE43CD"/>
    <w:pPr>
      <w:spacing w:line="240" w:lineRule="auto"/>
    </w:pPr>
    <w:rPr>
      <w:sz w:val="20"/>
      <w:szCs w:val="20"/>
    </w:rPr>
  </w:style>
  <w:style w:type="character" w:customStyle="1" w:styleId="CommentTextChar">
    <w:name w:val="Comment Text Char"/>
    <w:basedOn w:val="DefaultParagraphFont"/>
    <w:link w:val="CommentText"/>
    <w:uiPriority w:val="99"/>
    <w:semiHidden/>
    <w:rsid w:val="00BE43CD"/>
    <w:rPr>
      <w:sz w:val="20"/>
      <w:szCs w:val="20"/>
    </w:rPr>
  </w:style>
  <w:style w:type="paragraph" w:styleId="CommentSubject">
    <w:name w:val="annotation subject"/>
    <w:basedOn w:val="CommentText"/>
    <w:next w:val="CommentText"/>
    <w:link w:val="CommentSubjectChar"/>
    <w:uiPriority w:val="99"/>
    <w:semiHidden/>
    <w:unhideWhenUsed/>
    <w:rsid w:val="00BE43CD"/>
    <w:rPr>
      <w:b/>
      <w:bCs/>
    </w:rPr>
  </w:style>
  <w:style w:type="character" w:customStyle="1" w:styleId="CommentSubjectChar">
    <w:name w:val="Comment Subject Char"/>
    <w:basedOn w:val="CommentTextChar"/>
    <w:link w:val="CommentSubject"/>
    <w:uiPriority w:val="99"/>
    <w:semiHidden/>
    <w:rsid w:val="00BE43CD"/>
    <w:rPr>
      <w:b/>
      <w:bCs/>
      <w:sz w:val="20"/>
      <w:szCs w:val="20"/>
    </w:rPr>
  </w:style>
  <w:style w:type="paragraph" w:styleId="BalloonText">
    <w:name w:val="Balloon Text"/>
    <w:basedOn w:val="Normal"/>
    <w:link w:val="BalloonTextChar"/>
    <w:uiPriority w:val="99"/>
    <w:semiHidden/>
    <w:unhideWhenUsed/>
    <w:rsid w:val="00BE4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CD"/>
    <w:rPr>
      <w:rFonts w:ascii="Segoe UI" w:hAnsi="Segoe UI" w:cs="Segoe UI"/>
      <w:sz w:val="18"/>
      <w:szCs w:val="18"/>
    </w:rPr>
  </w:style>
  <w:style w:type="table" w:styleId="TableGrid">
    <w:name w:val="Table Grid"/>
    <w:basedOn w:val="TableNormal"/>
    <w:uiPriority w:val="39"/>
    <w:rsid w:val="0099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4925">
      <w:bodyDiv w:val="1"/>
      <w:marLeft w:val="0"/>
      <w:marRight w:val="0"/>
      <w:marTop w:val="0"/>
      <w:marBottom w:val="0"/>
      <w:divBdr>
        <w:top w:val="none" w:sz="0" w:space="0" w:color="auto"/>
        <w:left w:val="none" w:sz="0" w:space="0" w:color="auto"/>
        <w:bottom w:val="none" w:sz="0" w:space="0" w:color="auto"/>
        <w:right w:val="none" w:sz="0" w:space="0" w:color="auto"/>
      </w:divBdr>
      <w:divsChild>
        <w:div w:id="1889609681">
          <w:marLeft w:val="0"/>
          <w:marRight w:val="0"/>
          <w:marTop w:val="0"/>
          <w:marBottom w:val="0"/>
          <w:divBdr>
            <w:top w:val="none" w:sz="0" w:space="0" w:color="auto"/>
            <w:left w:val="none" w:sz="0" w:space="0" w:color="auto"/>
            <w:bottom w:val="none" w:sz="0" w:space="0" w:color="auto"/>
            <w:right w:val="none" w:sz="0" w:space="0" w:color="auto"/>
          </w:divBdr>
          <w:divsChild>
            <w:div w:id="15786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989">
      <w:bodyDiv w:val="1"/>
      <w:marLeft w:val="0"/>
      <w:marRight w:val="0"/>
      <w:marTop w:val="0"/>
      <w:marBottom w:val="0"/>
      <w:divBdr>
        <w:top w:val="none" w:sz="0" w:space="0" w:color="auto"/>
        <w:left w:val="none" w:sz="0" w:space="0" w:color="auto"/>
        <w:bottom w:val="none" w:sz="0" w:space="0" w:color="auto"/>
        <w:right w:val="none" w:sz="0" w:space="0" w:color="auto"/>
      </w:divBdr>
      <w:divsChild>
        <w:div w:id="317996134">
          <w:marLeft w:val="0"/>
          <w:marRight w:val="0"/>
          <w:marTop w:val="0"/>
          <w:marBottom w:val="0"/>
          <w:divBdr>
            <w:top w:val="none" w:sz="0" w:space="0" w:color="auto"/>
            <w:left w:val="none" w:sz="0" w:space="0" w:color="auto"/>
            <w:bottom w:val="none" w:sz="0" w:space="0" w:color="auto"/>
            <w:right w:val="none" w:sz="0" w:space="0" w:color="auto"/>
          </w:divBdr>
          <w:divsChild>
            <w:div w:id="3506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942">
      <w:bodyDiv w:val="1"/>
      <w:marLeft w:val="0"/>
      <w:marRight w:val="0"/>
      <w:marTop w:val="0"/>
      <w:marBottom w:val="0"/>
      <w:divBdr>
        <w:top w:val="none" w:sz="0" w:space="0" w:color="auto"/>
        <w:left w:val="none" w:sz="0" w:space="0" w:color="auto"/>
        <w:bottom w:val="none" w:sz="0" w:space="0" w:color="auto"/>
        <w:right w:val="none" w:sz="0" w:space="0" w:color="auto"/>
      </w:divBdr>
      <w:divsChild>
        <w:div w:id="1259829081">
          <w:marLeft w:val="0"/>
          <w:marRight w:val="0"/>
          <w:marTop w:val="0"/>
          <w:marBottom w:val="0"/>
          <w:divBdr>
            <w:top w:val="none" w:sz="0" w:space="0" w:color="auto"/>
            <w:left w:val="none" w:sz="0" w:space="0" w:color="auto"/>
            <w:bottom w:val="none" w:sz="0" w:space="0" w:color="auto"/>
            <w:right w:val="none" w:sz="0" w:space="0" w:color="auto"/>
          </w:divBdr>
          <w:divsChild>
            <w:div w:id="1389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326">
      <w:bodyDiv w:val="1"/>
      <w:marLeft w:val="0"/>
      <w:marRight w:val="0"/>
      <w:marTop w:val="0"/>
      <w:marBottom w:val="0"/>
      <w:divBdr>
        <w:top w:val="none" w:sz="0" w:space="0" w:color="auto"/>
        <w:left w:val="none" w:sz="0" w:space="0" w:color="auto"/>
        <w:bottom w:val="none" w:sz="0" w:space="0" w:color="auto"/>
        <w:right w:val="none" w:sz="0" w:space="0" w:color="auto"/>
      </w:divBdr>
      <w:divsChild>
        <w:div w:id="1761097253">
          <w:marLeft w:val="0"/>
          <w:marRight w:val="0"/>
          <w:marTop w:val="0"/>
          <w:marBottom w:val="0"/>
          <w:divBdr>
            <w:top w:val="none" w:sz="0" w:space="0" w:color="auto"/>
            <w:left w:val="none" w:sz="0" w:space="0" w:color="auto"/>
            <w:bottom w:val="none" w:sz="0" w:space="0" w:color="auto"/>
            <w:right w:val="none" w:sz="0" w:space="0" w:color="auto"/>
          </w:divBdr>
          <w:divsChild>
            <w:div w:id="600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034">
      <w:bodyDiv w:val="1"/>
      <w:marLeft w:val="0"/>
      <w:marRight w:val="0"/>
      <w:marTop w:val="0"/>
      <w:marBottom w:val="0"/>
      <w:divBdr>
        <w:top w:val="none" w:sz="0" w:space="0" w:color="auto"/>
        <w:left w:val="none" w:sz="0" w:space="0" w:color="auto"/>
        <w:bottom w:val="none" w:sz="0" w:space="0" w:color="auto"/>
        <w:right w:val="none" w:sz="0" w:space="0" w:color="auto"/>
      </w:divBdr>
      <w:divsChild>
        <w:div w:id="381949790">
          <w:marLeft w:val="0"/>
          <w:marRight w:val="0"/>
          <w:marTop w:val="0"/>
          <w:marBottom w:val="0"/>
          <w:divBdr>
            <w:top w:val="none" w:sz="0" w:space="0" w:color="auto"/>
            <w:left w:val="none" w:sz="0" w:space="0" w:color="auto"/>
            <w:bottom w:val="none" w:sz="0" w:space="0" w:color="auto"/>
            <w:right w:val="none" w:sz="0" w:space="0" w:color="auto"/>
          </w:divBdr>
          <w:divsChild>
            <w:div w:id="391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8470">
      <w:bodyDiv w:val="1"/>
      <w:marLeft w:val="0"/>
      <w:marRight w:val="0"/>
      <w:marTop w:val="0"/>
      <w:marBottom w:val="0"/>
      <w:divBdr>
        <w:top w:val="none" w:sz="0" w:space="0" w:color="auto"/>
        <w:left w:val="none" w:sz="0" w:space="0" w:color="auto"/>
        <w:bottom w:val="none" w:sz="0" w:space="0" w:color="auto"/>
        <w:right w:val="none" w:sz="0" w:space="0" w:color="auto"/>
      </w:divBdr>
      <w:divsChild>
        <w:div w:id="78140928">
          <w:marLeft w:val="0"/>
          <w:marRight w:val="0"/>
          <w:marTop w:val="0"/>
          <w:marBottom w:val="0"/>
          <w:divBdr>
            <w:top w:val="none" w:sz="0" w:space="0" w:color="auto"/>
            <w:left w:val="none" w:sz="0" w:space="0" w:color="auto"/>
            <w:bottom w:val="none" w:sz="0" w:space="0" w:color="auto"/>
            <w:right w:val="none" w:sz="0" w:space="0" w:color="auto"/>
          </w:divBdr>
          <w:divsChild>
            <w:div w:id="13319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Zipper</dc:creator>
  <cp:keywords/>
  <dc:description/>
  <cp:lastModifiedBy>Sam Zipper</cp:lastModifiedBy>
  <cp:revision>3</cp:revision>
  <dcterms:created xsi:type="dcterms:W3CDTF">2015-08-14T18:59:00Z</dcterms:created>
  <dcterms:modified xsi:type="dcterms:W3CDTF">2015-08-14T19:03:00Z</dcterms:modified>
</cp:coreProperties>
</file>