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01D25" w14:textId="6D8BDC0A" w:rsidR="006A5112" w:rsidRPr="00252C8F" w:rsidRDefault="000A5346" w:rsidP="006A5112">
      <w:pPr>
        <w:rPr>
          <w:rFonts w:cstheme="minorHAnsi"/>
          <w:b/>
        </w:rPr>
      </w:pPr>
      <w:r w:rsidRPr="00252C8F">
        <w:rPr>
          <w:rFonts w:cstheme="minorHAnsi"/>
          <w:b/>
        </w:rPr>
        <w:t>Methods</w:t>
      </w:r>
    </w:p>
    <w:p w14:paraId="348AF207" w14:textId="77777777" w:rsidR="00365CB9" w:rsidRPr="00252C8F" w:rsidRDefault="00365CB9" w:rsidP="006A5112">
      <w:pPr>
        <w:rPr>
          <w:rFonts w:cstheme="minorHAnsi"/>
          <w:i/>
        </w:rPr>
      </w:pPr>
      <w:r w:rsidRPr="00252C8F">
        <w:rPr>
          <w:rFonts w:cstheme="minorHAnsi"/>
          <w:i/>
        </w:rPr>
        <w:t>Study sites and experimental design</w:t>
      </w:r>
    </w:p>
    <w:p w14:paraId="2EA884C8" w14:textId="15D5320C" w:rsidR="003A388E" w:rsidRDefault="00F31809" w:rsidP="00213479">
      <w:pPr>
        <w:rPr>
          <w:rFonts w:cstheme="minorHAnsi"/>
        </w:rPr>
      </w:pPr>
      <w:r w:rsidRPr="00F31809">
        <w:rPr>
          <w:rFonts w:cstheme="minorHAnsi"/>
        </w:rPr>
        <w:t>The study</w:t>
      </w:r>
      <w:r>
        <w:rPr>
          <w:rFonts w:cstheme="minorHAnsi"/>
        </w:rPr>
        <w:t xml:space="preserve"> sites are part of </w:t>
      </w:r>
      <w:r w:rsidRPr="00365CB9">
        <w:rPr>
          <w:rFonts w:cstheme="minorHAnsi"/>
        </w:rPr>
        <w:t xml:space="preserve">The Nutrient Network (NutNet) experiment </w:t>
      </w:r>
      <w:r>
        <w:rPr>
          <w:rFonts w:cstheme="minorHAnsi"/>
        </w:rPr>
        <w:t>(</w:t>
      </w:r>
      <w:r w:rsidRPr="00F31809">
        <w:rPr>
          <w:rFonts w:cstheme="minorHAnsi"/>
        </w:rPr>
        <w:t xml:space="preserve">Table </w:t>
      </w:r>
      <w:r>
        <w:rPr>
          <w:rFonts w:cstheme="minorHAnsi"/>
        </w:rPr>
        <w:t>S2</w:t>
      </w:r>
      <w:r w:rsidRPr="00F31809">
        <w:rPr>
          <w:rFonts w:cstheme="minorHAnsi"/>
        </w:rPr>
        <w:t xml:space="preserve">; </w:t>
      </w:r>
      <w:r>
        <w:rPr>
          <w:rFonts w:cstheme="minorHAnsi"/>
        </w:rPr>
        <w:t xml:space="preserve">http://nutnet.org/) </w:t>
      </w:r>
      <w:r w:rsidRPr="00365CB9">
        <w:rPr>
          <w:rFonts w:cstheme="minorHAnsi"/>
        </w:rPr>
        <w:t>(Borer et al. 2014, 2017)</w:t>
      </w:r>
      <w:r w:rsidRPr="00F31809">
        <w:rPr>
          <w:rFonts w:cstheme="minorHAnsi"/>
        </w:rPr>
        <w:t>.</w:t>
      </w:r>
      <w:r w:rsidR="00E54C1A">
        <w:rPr>
          <w:rFonts w:cstheme="minorHAnsi"/>
        </w:rPr>
        <w:t xml:space="preserve"> </w:t>
      </w:r>
      <w:r w:rsidR="00EA19F4">
        <w:rPr>
          <w:rFonts w:cstheme="minorHAnsi"/>
        </w:rPr>
        <w:t xml:space="preserve">Plots </w:t>
      </w:r>
      <w:r w:rsidR="00EA19F4" w:rsidRPr="00EA19F4">
        <w:rPr>
          <w:rFonts w:cstheme="minorHAnsi"/>
        </w:rPr>
        <w:t xml:space="preserve">at </w:t>
      </w:r>
      <w:r w:rsidR="00EA19F4">
        <w:rPr>
          <w:rFonts w:cstheme="minorHAnsi"/>
        </w:rPr>
        <w:t>each site</w:t>
      </w:r>
      <w:r w:rsidR="00EA19F4" w:rsidRPr="00EA19F4">
        <w:rPr>
          <w:rFonts w:cstheme="minorHAnsi"/>
        </w:rPr>
        <w:t xml:space="preserve"> </w:t>
      </w:r>
      <w:r w:rsidR="00EA19F4">
        <w:rPr>
          <w:rFonts w:cstheme="minorHAnsi"/>
        </w:rPr>
        <w:t xml:space="preserve">are 5 × 5 m </w:t>
      </w:r>
      <w:r w:rsidR="00EA19F4" w:rsidRPr="00EA19F4">
        <w:rPr>
          <w:rFonts w:cstheme="minorHAnsi"/>
        </w:rPr>
        <w:t xml:space="preserve">separated by at least 1 </w:t>
      </w:r>
      <w:r w:rsidR="00E616AD">
        <w:rPr>
          <w:rFonts w:cstheme="minorHAnsi"/>
        </w:rPr>
        <w:t>m</w:t>
      </w:r>
      <w:r w:rsidR="000B6995" w:rsidRPr="000B6995">
        <w:rPr>
          <w:rFonts w:cstheme="minorHAnsi"/>
        </w:rPr>
        <w:t xml:space="preserve"> </w:t>
      </w:r>
      <w:r w:rsidR="000B6995">
        <w:rPr>
          <w:rFonts w:cstheme="minorHAnsi"/>
        </w:rPr>
        <w:t xml:space="preserve">and grouped into spatial blocks </w:t>
      </w:r>
      <w:r w:rsidR="005669CE">
        <w:rPr>
          <w:rFonts w:cstheme="minorHAnsi"/>
        </w:rPr>
        <w:t xml:space="preserve">typically </w:t>
      </w:r>
      <w:r w:rsidR="000B6995" w:rsidRPr="005C7DAB">
        <w:rPr>
          <w:rFonts w:cstheme="minorHAnsi"/>
        </w:rPr>
        <w:t>spread over 320 m</w:t>
      </w:r>
      <w:r w:rsidR="000B6995" w:rsidRPr="005C7DAB">
        <w:rPr>
          <w:rFonts w:cstheme="minorHAnsi"/>
          <w:vertAlign w:val="superscript"/>
        </w:rPr>
        <w:t>2</w:t>
      </w:r>
      <w:r w:rsidR="000B6995">
        <w:rPr>
          <w:rFonts w:cstheme="minorHAnsi"/>
        </w:rPr>
        <w:t>.</w:t>
      </w:r>
      <w:r w:rsidR="009E14B2">
        <w:rPr>
          <w:rFonts w:cstheme="minorHAnsi"/>
        </w:rPr>
        <w:t xml:space="preserve"> </w:t>
      </w:r>
      <w:r w:rsidR="000B6995" w:rsidRPr="002A5C64">
        <w:rPr>
          <w:rFonts w:cstheme="minorHAnsi"/>
        </w:rPr>
        <w:t>Treatments were randomly assigned to the 25-</w:t>
      </w:r>
      <w:r w:rsidR="000B6995">
        <w:rPr>
          <w:rFonts w:cstheme="minorHAnsi"/>
        </w:rPr>
        <w:t>m</w:t>
      </w:r>
      <w:r w:rsidR="000B6995" w:rsidRPr="00E616AD">
        <w:rPr>
          <w:rFonts w:cstheme="minorHAnsi"/>
          <w:vertAlign w:val="superscript"/>
        </w:rPr>
        <w:t>2</w:t>
      </w:r>
      <w:r w:rsidR="000B6995">
        <w:rPr>
          <w:rFonts w:cstheme="minorHAnsi"/>
        </w:rPr>
        <w:t xml:space="preserve"> plots and were replicated in </w:t>
      </w:r>
      <w:r w:rsidR="000B6995" w:rsidRPr="002A5C64">
        <w:rPr>
          <w:rFonts w:cstheme="minorHAnsi"/>
        </w:rPr>
        <w:t>three blocks at most sites, although the number o</w:t>
      </w:r>
      <w:r w:rsidR="000B6995">
        <w:rPr>
          <w:rFonts w:cstheme="minorHAnsi"/>
        </w:rPr>
        <w:t xml:space="preserve">f blocks ranged from one to six </w:t>
      </w:r>
      <w:r w:rsidR="000B6995" w:rsidRPr="002A5C64">
        <w:rPr>
          <w:rFonts w:cstheme="minorHAnsi"/>
        </w:rPr>
        <w:t>between sites</w:t>
      </w:r>
      <w:r w:rsidR="000B6995">
        <w:rPr>
          <w:rFonts w:cstheme="minorHAnsi"/>
        </w:rPr>
        <w:t>.</w:t>
      </w:r>
      <w:r w:rsidR="009E14B2">
        <w:rPr>
          <w:rFonts w:cstheme="minorHAnsi"/>
        </w:rPr>
        <w:t xml:space="preserve"> </w:t>
      </w:r>
      <w:r w:rsidR="009E14B2" w:rsidRPr="00EA19F4">
        <w:rPr>
          <w:rFonts w:cstheme="minorHAnsi"/>
        </w:rPr>
        <w:t>Sampling was done in 1 m</w:t>
      </w:r>
      <w:r w:rsidR="009E14B2" w:rsidRPr="00EA19F4">
        <w:rPr>
          <w:rFonts w:cstheme="minorHAnsi"/>
          <w:vertAlign w:val="superscript"/>
        </w:rPr>
        <w:t>2</w:t>
      </w:r>
      <w:r w:rsidR="009E14B2" w:rsidRPr="00EA19F4">
        <w:rPr>
          <w:rFonts w:cstheme="minorHAnsi"/>
        </w:rPr>
        <w:t xml:space="preserve"> </w:t>
      </w:r>
      <w:r w:rsidR="000B6995">
        <w:rPr>
          <w:rFonts w:cstheme="minorHAnsi"/>
        </w:rPr>
        <w:t xml:space="preserve">subplots </w:t>
      </w:r>
      <w:r w:rsidR="009E14B2">
        <w:rPr>
          <w:rFonts w:cstheme="minorHAnsi"/>
        </w:rPr>
        <w:t xml:space="preserve">and </w:t>
      </w:r>
      <w:r w:rsidR="00EA19F4" w:rsidRPr="00EA19F4">
        <w:rPr>
          <w:rFonts w:cstheme="minorHAnsi"/>
        </w:rPr>
        <w:t>foll</w:t>
      </w:r>
      <w:r w:rsidR="00EA19F4">
        <w:rPr>
          <w:rFonts w:cstheme="minorHAnsi"/>
        </w:rPr>
        <w:t>owed a standardized protocol at all sites (</w:t>
      </w:r>
      <w:r w:rsidR="00EA19F4" w:rsidRPr="00365CB9">
        <w:rPr>
          <w:rFonts w:cstheme="minorHAnsi"/>
        </w:rPr>
        <w:t>Borer et al. 2014</w:t>
      </w:r>
      <w:r w:rsidR="00EA19F4">
        <w:rPr>
          <w:rFonts w:cstheme="minorHAnsi"/>
        </w:rPr>
        <w:t>)</w:t>
      </w:r>
      <w:r w:rsidR="00EA19F4" w:rsidRPr="00EA19F4">
        <w:rPr>
          <w:rFonts w:cstheme="minorHAnsi"/>
        </w:rPr>
        <w:t>.</w:t>
      </w:r>
      <w:r w:rsidR="00EA19F4">
        <w:rPr>
          <w:rFonts w:cstheme="minorHAnsi"/>
        </w:rPr>
        <w:t xml:space="preserve"> </w:t>
      </w:r>
      <w:r w:rsidR="003A388E" w:rsidRPr="00EA19F4">
        <w:rPr>
          <w:rFonts w:cstheme="minorHAnsi"/>
        </w:rPr>
        <w:t>All sites included in the analyses presented here i</w:t>
      </w:r>
      <w:r w:rsidR="003A388E">
        <w:rPr>
          <w:rFonts w:cstheme="minorHAnsi"/>
        </w:rPr>
        <w:t xml:space="preserve">ncluded </w:t>
      </w:r>
      <w:r w:rsidR="000B6995">
        <w:rPr>
          <w:rFonts w:cstheme="minorHAnsi"/>
        </w:rPr>
        <w:t>unmanipulated</w:t>
      </w:r>
      <w:r w:rsidR="003A388E">
        <w:rPr>
          <w:rFonts w:cstheme="minorHAnsi"/>
        </w:rPr>
        <w:t xml:space="preserve"> plots and </w:t>
      </w:r>
      <w:r w:rsidR="00E616AD">
        <w:t xml:space="preserve">fertilized </w:t>
      </w:r>
      <w:r w:rsidR="003A388E">
        <w:rPr>
          <w:rFonts w:cstheme="minorHAnsi"/>
        </w:rPr>
        <w:t xml:space="preserve">plots </w:t>
      </w:r>
      <w:r w:rsidR="003A388E" w:rsidRPr="00EA19F4">
        <w:rPr>
          <w:rFonts w:cstheme="minorHAnsi"/>
        </w:rPr>
        <w:t>with nitrogen (N), phosphorus (P) and potassi</w:t>
      </w:r>
      <w:r w:rsidR="003A388E">
        <w:rPr>
          <w:rFonts w:cstheme="minorHAnsi"/>
        </w:rPr>
        <w:t xml:space="preserve">um and micronutrients (K) added </w:t>
      </w:r>
      <w:r w:rsidR="003A388E" w:rsidRPr="00EA19F4">
        <w:rPr>
          <w:rFonts w:cstheme="minorHAnsi"/>
        </w:rPr>
        <w:t>in combination (NPK)</w:t>
      </w:r>
      <w:r w:rsidR="003A388E">
        <w:rPr>
          <w:rFonts w:cstheme="minorHAnsi"/>
        </w:rPr>
        <w:t xml:space="preserve">. </w:t>
      </w:r>
      <w:r w:rsidR="00E616AD">
        <w:t>N</w:t>
      </w:r>
      <w:r w:rsidR="003A388E">
        <w:t xml:space="preserve">, </w:t>
      </w:r>
      <w:r w:rsidR="00E616AD">
        <w:t>P</w:t>
      </w:r>
      <w:r w:rsidR="003A388E">
        <w:t xml:space="preserve"> and </w:t>
      </w:r>
      <w:r w:rsidR="00E616AD">
        <w:t>K</w:t>
      </w:r>
      <w:r w:rsidR="003A388E">
        <w:t xml:space="preserve"> were applied annually before the beginning of the growing season at relatively high rates: 10 gm</w:t>
      </w:r>
      <w:r w:rsidR="003A388E" w:rsidRPr="003A388E">
        <w:rPr>
          <w:vertAlign w:val="superscript"/>
        </w:rPr>
        <w:t>-2</w:t>
      </w:r>
      <w:r w:rsidR="003A388E">
        <w:t xml:space="preserve"> y</w:t>
      </w:r>
      <w:r w:rsidR="003A388E" w:rsidRPr="003A388E">
        <w:rPr>
          <w:vertAlign w:val="superscript"/>
        </w:rPr>
        <w:t>-1</w:t>
      </w:r>
      <w:r w:rsidR="003A388E">
        <w:t>. N was supplied as time-release urea ((NH2)2CO) or ammonium nitrate (NH4NO3). P was supplied as triple super phosphate (Ca(H2PO4)2), and K as potassium sulphate (K2SO4). In addition, a micronutrient mix (Fe, S, Mg, Mn, Cu, Zn, B and</w:t>
      </w:r>
      <w:r w:rsidR="005A1F3A">
        <w:t xml:space="preserve"> </w:t>
      </w:r>
      <w:r w:rsidR="003A388E">
        <w:t>Mo) was applied at 100 gm</w:t>
      </w:r>
      <w:r w:rsidR="003A388E" w:rsidRPr="003A388E">
        <w:rPr>
          <w:vertAlign w:val="superscript"/>
        </w:rPr>
        <w:t>-2</w:t>
      </w:r>
      <w:r w:rsidR="003A388E">
        <w:t xml:space="preserve"> y</w:t>
      </w:r>
      <w:r w:rsidR="003A388E" w:rsidRPr="003A388E">
        <w:rPr>
          <w:vertAlign w:val="superscript"/>
        </w:rPr>
        <w:t>-1</w:t>
      </w:r>
      <w:r w:rsidR="003A388E">
        <w:t xml:space="preserve"> to the K-addition plots, once at the start of the experiment but not in subsequent years to avoid toxicity.</w:t>
      </w:r>
      <w:r w:rsidR="00252C8F" w:rsidRPr="00252C8F">
        <w:rPr>
          <w:rFonts w:cstheme="minorHAnsi"/>
        </w:rPr>
        <w:t xml:space="preserve"> </w:t>
      </w:r>
    </w:p>
    <w:p w14:paraId="08BFCDCA" w14:textId="77777777" w:rsidR="00252C8F" w:rsidRPr="00252C8F" w:rsidRDefault="00252C8F" w:rsidP="00EA19F4">
      <w:pPr>
        <w:rPr>
          <w:rFonts w:cstheme="minorHAnsi"/>
          <w:i/>
        </w:rPr>
      </w:pPr>
      <w:r w:rsidRPr="00252C8F">
        <w:rPr>
          <w:rFonts w:cstheme="minorHAnsi"/>
          <w:i/>
        </w:rPr>
        <w:t>Site selection</w:t>
      </w:r>
    </w:p>
    <w:p w14:paraId="5173CB5C" w14:textId="642B6C0E" w:rsidR="006A5112" w:rsidRDefault="00252C8F" w:rsidP="0024194B">
      <w:r>
        <w:rPr>
          <w:rFonts w:cstheme="minorHAnsi"/>
        </w:rPr>
        <w:t>D</w:t>
      </w:r>
      <w:r w:rsidR="00F31809">
        <w:rPr>
          <w:rFonts w:cstheme="minorHAnsi"/>
        </w:rPr>
        <w:t xml:space="preserve">ata </w:t>
      </w:r>
      <w:r>
        <w:rPr>
          <w:rFonts w:cstheme="minorHAnsi"/>
        </w:rPr>
        <w:t xml:space="preserve">were retrieved </w:t>
      </w:r>
      <w:r w:rsidR="00365CB9">
        <w:rPr>
          <w:rFonts w:cstheme="minorHAnsi"/>
        </w:rPr>
        <w:t xml:space="preserve">on </w:t>
      </w:r>
      <w:r w:rsidR="006A5112">
        <w:rPr>
          <w:rFonts w:cstheme="minorHAnsi"/>
        </w:rPr>
        <w:t>1</w:t>
      </w:r>
      <w:r w:rsidR="006A5112" w:rsidRPr="00310C26">
        <w:rPr>
          <w:rFonts w:cstheme="minorHAnsi"/>
        </w:rPr>
        <w:t xml:space="preserve"> </w:t>
      </w:r>
      <w:r w:rsidR="006A5112">
        <w:rPr>
          <w:rFonts w:cstheme="minorHAnsi"/>
        </w:rPr>
        <w:t>November</w:t>
      </w:r>
      <w:r w:rsidR="00F31809">
        <w:rPr>
          <w:rFonts w:cstheme="minorHAnsi"/>
        </w:rPr>
        <w:t xml:space="preserve"> 2019</w:t>
      </w:r>
      <w:r w:rsidR="006A5112" w:rsidRPr="00A4256D">
        <w:rPr>
          <w:rFonts w:cstheme="minorHAnsi"/>
        </w:rPr>
        <w:t>.</w:t>
      </w:r>
      <w:r w:rsidR="00E54C1A">
        <w:rPr>
          <w:rFonts w:cstheme="minorHAnsi"/>
        </w:rPr>
        <w:t xml:space="preserve"> </w:t>
      </w:r>
      <w:r w:rsidR="00291A9D">
        <w:rPr>
          <w:rFonts w:cstheme="minorHAnsi"/>
        </w:rPr>
        <w:t xml:space="preserve">To keep </w:t>
      </w:r>
      <w:r w:rsidR="00DB3586">
        <w:rPr>
          <w:rFonts w:cstheme="minorHAnsi"/>
        </w:rPr>
        <w:t>a constant</w:t>
      </w:r>
      <w:r w:rsidR="00291A9D">
        <w:rPr>
          <w:rFonts w:cstheme="minorHAnsi"/>
        </w:rPr>
        <w:t xml:space="preserve"> number of communities </w:t>
      </w:r>
      <w:r w:rsidR="00DB3586">
        <w:rPr>
          <w:rFonts w:cstheme="minorHAnsi"/>
        </w:rPr>
        <w:t>per meta-community and treatment</w:t>
      </w:r>
      <w:r w:rsidR="00291A9D">
        <w:rPr>
          <w:rFonts w:cstheme="minorHAnsi"/>
        </w:rPr>
        <w:t xml:space="preserve">, we selected sites that had a minimum of three blocks </w:t>
      </w:r>
      <w:r w:rsidR="00DB3586">
        <w:rPr>
          <w:rFonts w:cstheme="minorHAnsi"/>
        </w:rPr>
        <w:t xml:space="preserve">per treatment </w:t>
      </w:r>
      <w:r w:rsidR="00291A9D">
        <w:rPr>
          <w:rFonts w:cstheme="minorHAnsi"/>
        </w:rPr>
        <w:t xml:space="preserve">and </w:t>
      </w:r>
      <w:r w:rsidR="00291A9D" w:rsidRPr="00E54C1A">
        <w:rPr>
          <w:rFonts w:cstheme="minorHAnsi"/>
        </w:rPr>
        <w:t xml:space="preserve">subsetted </w:t>
      </w:r>
      <w:r w:rsidR="00291A9D">
        <w:rPr>
          <w:rFonts w:cstheme="minorHAnsi"/>
        </w:rPr>
        <w:t>s</w:t>
      </w:r>
      <w:r w:rsidR="00291A9D" w:rsidRPr="00E54C1A">
        <w:rPr>
          <w:rFonts w:cstheme="minorHAnsi"/>
        </w:rPr>
        <w:t xml:space="preserve">ites that included more than </w:t>
      </w:r>
      <w:r w:rsidR="00291A9D">
        <w:rPr>
          <w:rFonts w:cstheme="minorHAnsi"/>
        </w:rPr>
        <w:t xml:space="preserve">three </w:t>
      </w:r>
      <w:r w:rsidR="00291A9D" w:rsidRPr="00E54C1A">
        <w:rPr>
          <w:rFonts w:cstheme="minorHAnsi"/>
        </w:rPr>
        <w:t xml:space="preserve">blocks, usually by using the first </w:t>
      </w:r>
      <w:r w:rsidR="00291A9D">
        <w:rPr>
          <w:rFonts w:cstheme="minorHAnsi"/>
        </w:rPr>
        <w:t xml:space="preserve">three </w:t>
      </w:r>
      <w:r w:rsidR="00291A9D" w:rsidRPr="00E54C1A">
        <w:rPr>
          <w:rFonts w:cstheme="minorHAnsi"/>
        </w:rPr>
        <w:t>blocks</w:t>
      </w:r>
      <w:r w:rsidR="00291A9D">
        <w:rPr>
          <w:rFonts w:cstheme="minorHAnsi"/>
        </w:rPr>
        <w:t xml:space="preserve"> (Table S2)</w:t>
      </w:r>
      <w:r w:rsidR="00291A9D" w:rsidRPr="00E54C1A">
        <w:rPr>
          <w:rFonts w:cstheme="minorHAnsi"/>
        </w:rPr>
        <w:t>.</w:t>
      </w:r>
      <w:r w:rsidR="00291A9D" w:rsidRPr="002A5C64">
        <w:t xml:space="preserve"> </w:t>
      </w:r>
      <w:r w:rsidR="00291A9D">
        <w:t>Thus, f</w:t>
      </w:r>
      <w:r w:rsidR="00291A9D">
        <w:rPr>
          <w:rFonts w:cstheme="minorHAnsi"/>
        </w:rPr>
        <w:t xml:space="preserve">or each site and treatment, a metacommunity was composed of three communities (three replicated blocks per treatment and site). </w:t>
      </w:r>
      <w:r w:rsidR="00D52465">
        <w:rPr>
          <w:rFonts w:cstheme="minorHAnsi"/>
        </w:rPr>
        <w:t>S</w:t>
      </w:r>
      <w:r w:rsidR="00547F58" w:rsidRPr="002A5C64">
        <w:rPr>
          <w:rFonts w:cstheme="minorHAnsi"/>
        </w:rPr>
        <w:t>ites</w:t>
      </w:r>
      <w:r w:rsidR="00D52465" w:rsidRPr="00D52465">
        <w:t xml:space="preserve"> </w:t>
      </w:r>
      <w:r w:rsidR="00D52465" w:rsidRPr="000B03D2">
        <w:t xml:space="preserve">spanned a broad envelope </w:t>
      </w:r>
      <w:r w:rsidR="00D52465">
        <w:t xml:space="preserve">of seasonal variation in precipitation and temperature </w:t>
      </w:r>
      <w:r w:rsidR="00D52465" w:rsidRPr="000B03D2">
        <w:t>(</w:t>
      </w:r>
      <w:r w:rsidR="00DC007A">
        <w:t>Fig.</w:t>
      </w:r>
      <w:r w:rsidR="00D52465" w:rsidRPr="000B03D2">
        <w:t xml:space="preserve"> S1)</w:t>
      </w:r>
      <w:r w:rsidR="00D52465">
        <w:t xml:space="preserve"> and</w:t>
      </w:r>
      <w:r w:rsidR="00547F58" w:rsidRPr="002A5C64">
        <w:rPr>
          <w:rFonts w:cstheme="minorHAnsi"/>
        </w:rPr>
        <w:t xml:space="preserve"> represent a wide range of grassland types including alpine</w:t>
      </w:r>
      <w:r w:rsidR="00547F58">
        <w:rPr>
          <w:rFonts w:cstheme="minorHAnsi"/>
        </w:rPr>
        <w:t>,</w:t>
      </w:r>
      <w:r w:rsidR="00547F58" w:rsidRPr="002A5C64">
        <w:rPr>
          <w:rFonts w:cstheme="minorHAnsi"/>
        </w:rPr>
        <w:t xml:space="preserve"> desert and s</w:t>
      </w:r>
      <w:r w:rsidR="00547F58">
        <w:rPr>
          <w:rFonts w:cstheme="minorHAnsi"/>
        </w:rPr>
        <w:t xml:space="preserve">emi-arid </w:t>
      </w:r>
      <w:r w:rsidR="00547F58" w:rsidRPr="002A5C64">
        <w:rPr>
          <w:rFonts w:cstheme="minorHAnsi"/>
        </w:rPr>
        <w:t>grasslands, prairies</w:t>
      </w:r>
      <w:r w:rsidR="00547F58">
        <w:rPr>
          <w:rFonts w:cstheme="minorHAnsi"/>
        </w:rPr>
        <w:t xml:space="preserve">, old fields, </w:t>
      </w:r>
      <w:r w:rsidR="00547F58" w:rsidRPr="002A5C64">
        <w:rPr>
          <w:rFonts w:cstheme="minorHAnsi"/>
        </w:rPr>
        <w:t>pastures, savanna</w:t>
      </w:r>
      <w:r w:rsidR="00547F58">
        <w:rPr>
          <w:rFonts w:cstheme="minorHAnsi"/>
        </w:rPr>
        <w:t>, tundra</w:t>
      </w:r>
      <w:r w:rsidR="00547F58" w:rsidRPr="002A5C64">
        <w:rPr>
          <w:rFonts w:cstheme="minorHAnsi"/>
        </w:rPr>
        <w:t xml:space="preserve"> and shrub-steppe</w:t>
      </w:r>
      <w:r w:rsidR="00547F58">
        <w:rPr>
          <w:rFonts w:cstheme="minorHAnsi"/>
        </w:rPr>
        <w:t xml:space="preserve"> </w:t>
      </w:r>
      <w:r w:rsidR="00547F58">
        <w:t xml:space="preserve">(Table S2). </w:t>
      </w:r>
      <w:r w:rsidR="0009165A">
        <w:rPr>
          <w:rFonts w:cstheme="minorHAnsi"/>
        </w:rPr>
        <w:t xml:space="preserve">We </w:t>
      </w:r>
      <w:r w:rsidR="0009165A" w:rsidRPr="00A4256D">
        <w:rPr>
          <w:rFonts w:cstheme="minorHAnsi"/>
        </w:rPr>
        <w:t xml:space="preserve">selected sites that had a minimum of </w:t>
      </w:r>
      <w:r w:rsidR="0009165A">
        <w:rPr>
          <w:rFonts w:cstheme="minorHAnsi"/>
        </w:rPr>
        <w:t>four</w:t>
      </w:r>
      <w:r w:rsidR="0009165A" w:rsidRPr="00A4256D">
        <w:rPr>
          <w:rFonts w:cstheme="minorHAnsi"/>
        </w:rPr>
        <w:t xml:space="preserve"> years, and up to </w:t>
      </w:r>
      <w:r w:rsidR="0009165A">
        <w:rPr>
          <w:rFonts w:cstheme="minorHAnsi"/>
        </w:rPr>
        <w:t xml:space="preserve">nine years of post-treatment data. </w:t>
      </w:r>
      <w:r w:rsidR="00174DED">
        <w:rPr>
          <w:rFonts w:cstheme="minorHAnsi"/>
        </w:rPr>
        <w:t>Treatment application started at most sites in 2008</w:t>
      </w:r>
      <w:r w:rsidR="00174DED" w:rsidRPr="001C252E">
        <w:rPr>
          <w:rFonts w:cstheme="minorHAnsi"/>
        </w:rPr>
        <w:t xml:space="preserve"> </w:t>
      </w:r>
      <w:r w:rsidR="00174DED">
        <w:rPr>
          <w:rFonts w:cstheme="minorHAnsi"/>
        </w:rPr>
        <w:t>but</w:t>
      </w:r>
      <w:r w:rsidR="00174DED" w:rsidRPr="001C252E">
        <w:rPr>
          <w:rFonts w:cstheme="minorHAnsi"/>
        </w:rPr>
        <w:t xml:space="preserve"> </w:t>
      </w:r>
      <w:r w:rsidR="00174DED">
        <w:rPr>
          <w:rFonts w:cstheme="minorHAnsi"/>
        </w:rPr>
        <w:t xml:space="preserve">some sites started later resulting in a lower number of </w:t>
      </w:r>
      <w:r w:rsidR="00174DED">
        <w:t>sites with increasing duration of the study, from 4</w:t>
      </w:r>
      <w:r w:rsidR="005652B1">
        <w:t>8</w:t>
      </w:r>
      <w:r w:rsidR="00174DED">
        <w:t xml:space="preserve"> sites with four years of duration to 2</w:t>
      </w:r>
      <w:r w:rsidR="00E4650E">
        <w:t>3</w:t>
      </w:r>
      <w:r w:rsidR="00174DED">
        <w:t xml:space="preserve"> sites with nine years of duration (Table S2).</w:t>
      </w:r>
      <w:r w:rsidR="00174DED" w:rsidRPr="002A5C64">
        <w:rPr>
          <w:rFonts w:cstheme="minorHAnsi"/>
        </w:rPr>
        <w:t xml:space="preserve"> </w:t>
      </w:r>
      <w:r w:rsidR="00174DED">
        <w:rPr>
          <w:rFonts w:cstheme="minorHAnsi"/>
        </w:rPr>
        <w:t xml:space="preserve">Longer time series </w:t>
      </w:r>
      <w:r w:rsidR="00174DED" w:rsidRPr="00213479">
        <w:rPr>
          <w:rFonts w:cstheme="minorHAnsi"/>
        </w:rPr>
        <w:t xml:space="preserve">currently exist </w:t>
      </w:r>
      <w:r w:rsidR="00174DED">
        <w:rPr>
          <w:rFonts w:cstheme="minorHAnsi"/>
        </w:rPr>
        <w:t xml:space="preserve">but </w:t>
      </w:r>
      <w:r w:rsidR="00174DED" w:rsidRPr="00213479">
        <w:rPr>
          <w:rFonts w:cstheme="minorHAnsi"/>
        </w:rPr>
        <w:t>for a limited number of sites</w:t>
      </w:r>
      <w:r w:rsidR="00174DED">
        <w:rPr>
          <w:rFonts w:cstheme="minorHAnsi"/>
        </w:rPr>
        <w:t xml:space="preserve"> within our selection criteria (1</w:t>
      </w:r>
      <w:r w:rsidR="0023248A">
        <w:rPr>
          <w:rFonts w:cstheme="minorHAnsi"/>
        </w:rPr>
        <w:t>5</w:t>
      </w:r>
      <w:r w:rsidR="005652B1">
        <w:rPr>
          <w:rFonts w:cstheme="minorHAnsi"/>
        </w:rPr>
        <w:t xml:space="preserve"> sites</w:t>
      </w:r>
      <w:r w:rsidR="006E21F5">
        <w:rPr>
          <w:rFonts w:cstheme="minorHAnsi"/>
        </w:rPr>
        <w:t>).</w:t>
      </w:r>
      <w:r w:rsidR="003F4142" w:rsidRPr="003F4142">
        <w:t xml:space="preserve"> </w:t>
      </w:r>
      <w:r w:rsidR="003F4142">
        <w:t>The data set described above contains all the available sites per period of experimental duration. This means that the number of sites decreases with increasing period</w:t>
      </w:r>
      <w:r w:rsidR="003F4142" w:rsidRPr="006E21F5">
        <w:t xml:space="preserve"> </w:t>
      </w:r>
      <w:r w:rsidR="003F4142">
        <w:t>of experimental duration, making these variables partly confounded. We thus generated an additional data set that contained the same metacommunities (a total of 23 metacommunities</w:t>
      </w:r>
      <w:r w:rsidR="003F4142" w:rsidRPr="00490615">
        <w:t xml:space="preserve"> </w:t>
      </w:r>
      <w:r w:rsidR="003F4142">
        <w:t>for each treatment) for each period of experimental duration. Results of our analyses using a fixed number of metacommunities per period did not differ qualitatively from the results presented in the text using all the available sites per period</w:t>
      </w:r>
      <w:r w:rsidR="00DC007A">
        <w:t xml:space="preserve"> (Fig.</w:t>
      </w:r>
      <w:r w:rsidR="00861A11">
        <w:t xml:space="preserve"> S</w:t>
      </w:r>
      <w:r w:rsidR="005461DC">
        <w:t>2</w:t>
      </w:r>
      <w:r w:rsidR="00861A11">
        <w:t>)</w:t>
      </w:r>
      <w:r w:rsidR="003F4142">
        <w:t>.</w:t>
      </w:r>
    </w:p>
    <w:p w14:paraId="0CE03421" w14:textId="24296B02" w:rsidR="00463697" w:rsidRPr="00595647" w:rsidRDefault="00463697" w:rsidP="00463697">
      <w:pPr>
        <w:rPr>
          <w:rFonts w:cstheme="minorHAnsi"/>
          <w:i/>
        </w:rPr>
      </w:pPr>
      <w:r w:rsidRPr="00595647">
        <w:rPr>
          <w:rFonts w:cstheme="minorHAnsi"/>
          <w:i/>
        </w:rPr>
        <w:t>P</w:t>
      </w:r>
      <w:r w:rsidR="00595647" w:rsidRPr="00595647">
        <w:rPr>
          <w:rFonts w:cstheme="minorHAnsi"/>
          <w:i/>
        </w:rPr>
        <w:t>rimary p</w:t>
      </w:r>
      <w:r w:rsidRPr="00595647">
        <w:rPr>
          <w:rFonts w:cstheme="minorHAnsi"/>
          <w:i/>
        </w:rPr>
        <w:t>roductivity</w:t>
      </w:r>
      <w:r w:rsidR="00EE159E">
        <w:rPr>
          <w:rFonts w:cstheme="minorHAnsi"/>
          <w:i/>
        </w:rPr>
        <w:t xml:space="preserve"> and cover</w:t>
      </w:r>
    </w:p>
    <w:p w14:paraId="07FB6C61" w14:textId="599BD050" w:rsidR="00EE159E" w:rsidRDefault="00595647" w:rsidP="00861A11">
      <w:pPr>
        <w:rPr>
          <w:rFonts w:cstheme="minorHAnsi"/>
        </w:rPr>
      </w:pPr>
      <w:r>
        <w:rPr>
          <w:rFonts w:cstheme="minorHAnsi"/>
        </w:rPr>
        <w:t>P</w:t>
      </w:r>
      <w:r w:rsidR="00463697">
        <w:rPr>
          <w:rFonts w:cstheme="minorHAnsi"/>
        </w:rPr>
        <w:t>rimary productivity</w:t>
      </w:r>
      <w:r w:rsidR="00463697" w:rsidRPr="00463697">
        <w:rPr>
          <w:rFonts w:cstheme="minorHAnsi"/>
        </w:rPr>
        <w:t xml:space="preserve"> </w:t>
      </w:r>
      <w:r>
        <w:rPr>
          <w:rFonts w:cstheme="minorHAnsi"/>
        </w:rPr>
        <w:t xml:space="preserve">was estimated </w:t>
      </w:r>
      <w:r w:rsidR="004E4565">
        <w:rPr>
          <w:rFonts w:cstheme="minorHAnsi"/>
        </w:rPr>
        <w:t xml:space="preserve">annually </w:t>
      </w:r>
      <w:r w:rsidR="00463697">
        <w:rPr>
          <w:rFonts w:cstheme="minorHAnsi"/>
        </w:rPr>
        <w:t xml:space="preserve">by clipping </w:t>
      </w:r>
      <w:r>
        <w:rPr>
          <w:rFonts w:cstheme="minorHAnsi"/>
        </w:rPr>
        <w:t>at ground level all above</w:t>
      </w:r>
      <w:r w:rsidR="00463697" w:rsidRPr="00463697">
        <w:rPr>
          <w:rFonts w:cstheme="minorHAnsi"/>
        </w:rPr>
        <w:t xml:space="preserve">ground live biomass </w:t>
      </w:r>
      <w:r w:rsidR="004E4565" w:rsidRPr="004E4565">
        <w:rPr>
          <w:rFonts w:cstheme="minorHAnsi"/>
        </w:rPr>
        <w:t>from two 0.1 m</w:t>
      </w:r>
      <w:r w:rsidR="004E4565" w:rsidRPr="004E4565">
        <w:rPr>
          <w:rFonts w:cstheme="minorHAnsi"/>
          <w:vertAlign w:val="superscript"/>
        </w:rPr>
        <w:t>2</w:t>
      </w:r>
      <w:r w:rsidR="004E4565" w:rsidRPr="004E4565">
        <w:rPr>
          <w:rFonts w:cstheme="minorHAnsi"/>
        </w:rPr>
        <w:t xml:space="preserve"> </w:t>
      </w:r>
      <w:r>
        <w:rPr>
          <w:rFonts w:cstheme="minorHAnsi"/>
        </w:rPr>
        <w:t xml:space="preserve">(10 x 100 cm) </w:t>
      </w:r>
      <w:r w:rsidR="004E4565" w:rsidRPr="004E4565">
        <w:rPr>
          <w:rFonts w:cstheme="minorHAnsi"/>
        </w:rPr>
        <w:t>quadrats per plot</w:t>
      </w:r>
      <w:r w:rsidR="00463697">
        <w:rPr>
          <w:rFonts w:cstheme="minorHAnsi"/>
        </w:rPr>
        <w:t xml:space="preserve">. </w:t>
      </w:r>
      <w:r w:rsidRPr="00595647">
        <w:rPr>
          <w:rFonts w:cstheme="minorHAnsi"/>
        </w:rPr>
        <w:t xml:space="preserve">For shrubs and subshrubs, leaves and current year’s woody growth were collected. </w:t>
      </w:r>
      <w:r>
        <w:rPr>
          <w:rFonts w:cstheme="minorHAnsi"/>
        </w:rPr>
        <w:t>Biomass was</w:t>
      </w:r>
      <w:r w:rsidRPr="004E4565">
        <w:rPr>
          <w:rFonts w:cstheme="minorHAnsi"/>
        </w:rPr>
        <w:t xml:space="preserve"> dried to constant mass at 60°C and weighed to the nearest 0.01 g.</w:t>
      </w:r>
      <w:r w:rsidR="00EE159E">
        <w:rPr>
          <w:rFonts w:cstheme="minorHAnsi"/>
        </w:rPr>
        <w:t xml:space="preserve"> </w:t>
      </w:r>
      <w:r w:rsidR="00EE159E">
        <w:t>A</w:t>
      </w:r>
      <w:r w:rsidR="00EE159E" w:rsidRPr="00463697">
        <w:t>real percent cover</w:t>
      </w:r>
      <w:r w:rsidR="00EE159E" w:rsidRPr="004E4565">
        <w:rPr>
          <w:rFonts w:cstheme="minorHAnsi"/>
        </w:rPr>
        <w:t xml:space="preserve"> </w:t>
      </w:r>
      <w:r w:rsidR="004E4565" w:rsidRPr="004E4565">
        <w:rPr>
          <w:rFonts w:cstheme="minorHAnsi"/>
        </w:rPr>
        <w:t xml:space="preserve">of each species was measured concurrently with </w:t>
      </w:r>
      <w:r w:rsidR="00EE159E">
        <w:rPr>
          <w:rFonts w:cstheme="minorHAnsi"/>
        </w:rPr>
        <w:t>primary productivity</w:t>
      </w:r>
      <w:r w:rsidR="00EE159E" w:rsidRPr="00463697">
        <w:rPr>
          <w:rFonts w:cstheme="minorHAnsi"/>
        </w:rPr>
        <w:t xml:space="preserve"> </w:t>
      </w:r>
      <w:r w:rsidR="004E4565" w:rsidRPr="004E4565">
        <w:rPr>
          <w:rFonts w:cstheme="minorHAnsi"/>
        </w:rPr>
        <w:t>in</w:t>
      </w:r>
      <w:r w:rsidR="00EE159E">
        <w:rPr>
          <w:rFonts w:cstheme="minorHAnsi"/>
        </w:rPr>
        <w:t xml:space="preserve"> 1 x 1m</w:t>
      </w:r>
      <w:r w:rsidR="004E4565" w:rsidRPr="004E4565">
        <w:rPr>
          <w:rFonts w:cstheme="minorHAnsi"/>
        </w:rPr>
        <w:t xml:space="preserve"> subplots in which no destructive sampling occurred. </w:t>
      </w:r>
      <w:r w:rsidR="00EE159E" w:rsidRPr="00EE159E">
        <w:rPr>
          <w:rFonts w:cstheme="minorHAnsi"/>
        </w:rPr>
        <w:t xml:space="preserve">Cover was </w:t>
      </w:r>
      <w:r w:rsidR="00EE159E" w:rsidRPr="00463697">
        <w:t xml:space="preserve">visually </w:t>
      </w:r>
      <w:r w:rsidR="00EE159E" w:rsidRPr="00EE159E">
        <w:rPr>
          <w:rFonts w:cstheme="minorHAnsi"/>
        </w:rPr>
        <w:t xml:space="preserve">estimated </w:t>
      </w:r>
      <w:r w:rsidR="00EE159E">
        <w:rPr>
          <w:rFonts w:cstheme="minorHAnsi"/>
        </w:rPr>
        <w:t>t</w:t>
      </w:r>
      <w:r w:rsidR="00EE159E" w:rsidRPr="00463697">
        <w:t>o the nearest percent</w:t>
      </w:r>
      <w:r w:rsidR="00EE159E">
        <w:t xml:space="preserve"> </w:t>
      </w:r>
      <w:r w:rsidR="00EE159E" w:rsidRPr="00EE159E">
        <w:rPr>
          <w:rFonts w:cstheme="minorHAnsi"/>
        </w:rPr>
        <w:t>independently for each spec</w:t>
      </w:r>
      <w:r w:rsidR="00EE159E">
        <w:rPr>
          <w:rFonts w:cstheme="minorHAnsi"/>
        </w:rPr>
        <w:t xml:space="preserve">ies, so that total summed cover </w:t>
      </w:r>
      <w:r w:rsidR="00EE159E" w:rsidRPr="00EE159E">
        <w:rPr>
          <w:rFonts w:cstheme="minorHAnsi"/>
        </w:rPr>
        <w:t>can exceed 100%</w:t>
      </w:r>
      <w:r w:rsidR="00EE159E">
        <w:rPr>
          <w:rFonts w:cstheme="minorHAnsi"/>
        </w:rPr>
        <w:t xml:space="preserve"> </w:t>
      </w:r>
      <w:r w:rsidR="00EE159E" w:rsidRPr="00EE159E">
        <w:rPr>
          <w:rFonts w:cstheme="minorHAnsi"/>
        </w:rPr>
        <w:t>for</w:t>
      </w:r>
      <w:r w:rsidR="00EE159E">
        <w:rPr>
          <w:rFonts w:cstheme="minorHAnsi"/>
        </w:rPr>
        <w:t xml:space="preserve"> multilayer canopies.</w:t>
      </w:r>
      <w:r w:rsidR="00FC011C" w:rsidRPr="00FC011C">
        <w:t xml:space="preserve"> </w:t>
      </w:r>
      <w:r w:rsidR="00B47FB8" w:rsidRPr="00FC011C">
        <w:rPr>
          <w:rFonts w:cstheme="minorHAnsi"/>
        </w:rPr>
        <w:t>To better</w:t>
      </w:r>
      <w:r w:rsidR="00861A11">
        <w:rPr>
          <w:rFonts w:cstheme="minorHAnsi"/>
        </w:rPr>
        <w:t xml:space="preserve"> match theory and </w:t>
      </w:r>
      <w:r w:rsidR="00861A11" w:rsidRPr="00861A11">
        <w:rPr>
          <w:rFonts w:cstheme="minorHAnsi"/>
        </w:rPr>
        <w:t>because direct measures of biomass for each</w:t>
      </w:r>
      <w:r w:rsidR="00861A11">
        <w:rPr>
          <w:rFonts w:cstheme="minorHAnsi"/>
        </w:rPr>
        <w:t xml:space="preserve"> </w:t>
      </w:r>
      <w:r w:rsidR="00861A11" w:rsidRPr="00861A11">
        <w:rPr>
          <w:rFonts w:cstheme="minorHAnsi"/>
        </w:rPr>
        <w:t>individual species</w:t>
      </w:r>
      <w:r w:rsidR="00861A11">
        <w:rPr>
          <w:rFonts w:cstheme="minorHAnsi"/>
        </w:rPr>
        <w:t xml:space="preserve"> were unavailable, </w:t>
      </w:r>
      <w:r w:rsidR="00B47FB8">
        <w:rPr>
          <w:rFonts w:cstheme="minorHAnsi"/>
        </w:rPr>
        <w:t xml:space="preserve">we </w:t>
      </w:r>
      <w:r w:rsidR="007E701F">
        <w:rPr>
          <w:rFonts w:cstheme="minorHAnsi"/>
        </w:rPr>
        <w:t>re-</w:t>
      </w:r>
      <w:r w:rsidR="00B47FB8">
        <w:rPr>
          <w:rFonts w:cstheme="minorHAnsi"/>
        </w:rPr>
        <w:t>run analyses</w:t>
      </w:r>
      <w:r w:rsidR="00B47FB8" w:rsidRPr="00B47FB8">
        <w:t xml:space="preserve"> </w:t>
      </w:r>
      <w:r w:rsidR="00B47FB8">
        <w:t xml:space="preserve">with </w:t>
      </w:r>
      <w:r w:rsidR="00B47FB8" w:rsidRPr="00B47FB8">
        <w:t xml:space="preserve">species-level </w:t>
      </w:r>
      <w:r w:rsidR="003A78B3">
        <w:t>biomass</w:t>
      </w:r>
      <w:r w:rsidR="00B47FB8" w:rsidRPr="00B47FB8">
        <w:t xml:space="preserve"> estimates based on percentage cover</w:t>
      </w:r>
      <w:r w:rsidR="00861A11">
        <w:t>.</w:t>
      </w:r>
      <w:r w:rsidR="00B47FB8">
        <w:t xml:space="preserve"> </w:t>
      </w:r>
      <w:r w:rsidR="00861A11">
        <w:rPr>
          <w:rFonts w:cstheme="minorHAnsi"/>
        </w:rPr>
        <w:t>P</w:t>
      </w:r>
      <w:r w:rsidR="00FC011C">
        <w:rPr>
          <w:rFonts w:cstheme="minorHAnsi"/>
        </w:rPr>
        <w:t xml:space="preserve">ercentage cover </w:t>
      </w:r>
      <w:r w:rsidR="00FC011C" w:rsidRPr="00FC011C">
        <w:rPr>
          <w:rFonts w:cstheme="minorHAnsi"/>
        </w:rPr>
        <w:t xml:space="preserve">was converted to biomass estimates for </w:t>
      </w:r>
      <w:r w:rsidR="00FC011C" w:rsidRPr="00FC011C">
        <w:rPr>
          <w:rFonts w:cstheme="minorHAnsi"/>
        </w:rPr>
        <w:lastRenderedPageBreak/>
        <w:t xml:space="preserve">each species </w:t>
      </w:r>
      <w:r w:rsidR="00FC011C">
        <w:rPr>
          <w:rFonts w:cstheme="minorHAnsi"/>
        </w:rPr>
        <w:t xml:space="preserve">by assuming that the proportion </w:t>
      </w:r>
      <w:r w:rsidR="00FC011C" w:rsidRPr="00FC011C">
        <w:rPr>
          <w:rFonts w:cstheme="minorHAnsi"/>
        </w:rPr>
        <w:t xml:space="preserve">of total cover for each species was equivalent to its </w:t>
      </w:r>
      <w:r w:rsidR="00FC011C">
        <w:rPr>
          <w:rFonts w:cstheme="minorHAnsi"/>
        </w:rPr>
        <w:t xml:space="preserve">proportion of total aboveground </w:t>
      </w:r>
      <w:r w:rsidR="00FC011C" w:rsidRPr="00FC011C">
        <w:rPr>
          <w:rFonts w:cstheme="minorHAnsi"/>
        </w:rPr>
        <w:t>biomass</w:t>
      </w:r>
      <w:r w:rsidR="00FC011C">
        <w:rPr>
          <w:rFonts w:cstheme="minorHAnsi"/>
        </w:rPr>
        <w:t>.</w:t>
      </w:r>
      <w:r w:rsidR="003A78B3" w:rsidRPr="003A78B3">
        <w:t xml:space="preserve"> </w:t>
      </w:r>
      <w:r w:rsidR="003A78B3">
        <w:t xml:space="preserve">Results of our analyses using </w:t>
      </w:r>
      <w:r w:rsidR="00E4650E" w:rsidRPr="00FC011C">
        <w:rPr>
          <w:rFonts w:cstheme="minorHAnsi"/>
        </w:rPr>
        <w:t xml:space="preserve">biomass estimates </w:t>
      </w:r>
      <w:r w:rsidR="003A78B3">
        <w:t>did not differ qualitatively from the results presented in the text using biomass</w:t>
      </w:r>
      <w:r w:rsidR="003A78B3" w:rsidRPr="00B47FB8">
        <w:t xml:space="preserve"> estimates based on percentage cover</w:t>
      </w:r>
      <w:r w:rsidR="003A78B3" w:rsidRPr="003A78B3">
        <w:t xml:space="preserve"> </w:t>
      </w:r>
      <w:r w:rsidR="003A78B3">
        <w:t>(Figures S</w:t>
      </w:r>
      <w:r w:rsidR="007E701F">
        <w:t>3</w:t>
      </w:r>
      <w:r w:rsidR="003A78B3">
        <w:t>).</w:t>
      </w:r>
    </w:p>
    <w:p w14:paraId="149F7F83" w14:textId="0AB61B7E" w:rsidR="00C37F66" w:rsidRPr="00C37F66" w:rsidRDefault="000A79FA" w:rsidP="00463697">
      <w:pPr>
        <w:rPr>
          <w:rFonts w:cstheme="minorHAnsi"/>
          <w:i/>
        </w:rPr>
      </w:pPr>
      <w:r>
        <w:rPr>
          <w:rFonts w:cstheme="minorHAnsi"/>
          <w:i/>
        </w:rPr>
        <w:t>D</w:t>
      </w:r>
      <w:r w:rsidR="00C37F66" w:rsidRPr="00C37F66">
        <w:rPr>
          <w:rFonts w:cstheme="minorHAnsi"/>
          <w:i/>
        </w:rPr>
        <w:t>iversity</w:t>
      </w:r>
      <w:r>
        <w:rPr>
          <w:rFonts w:cstheme="minorHAnsi"/>
          <w:i/>
        </w:rPr>
        <w:t>, a</w:t>
      </w:r>
      <w:r w:rsidRPr="00413BE6">
        <w:rPr>
          <w:rFonts w:cstheme="minorHAnsi"/>
          <w:i/>
        </w:rPr>
        <w:t>synchrony and stability across spatial scale</w:t>
      </w:r>
      <w:r>
        <w:rPr>
          <w:rFonts w:cstheme="minorHAnsi"/>
          <w:i/>
        </w:rPr>
        <w:t>s</w:t>
      </w:r>
    </w:p>
    <w:p w14:paraId="74B81688" w14:textId="0C7EC44A" w:rsidR="00CE16F8" w:rsidRPr="00C4510A" w:rsidRDefault="00C37F66" w:rsidP="00C9790C">
      <w:r>
        <w:rPr>
          <w:rFonts w:cstheme="minorHAnsi"/>
        </w:rPr>
        <w:t>Species richness</w:t>
      </w:r>
      <w:r w:rsidRPr="00C37F66">
        <w:rPr>
          <w:rFonts w:cstheme="minorHAnsi"/>
        </w:rPr>
        <w:t xml:space="preserve"> was quantifi</w:t>
      </w:r>
      <w:r>
        <w:rPr>
          <w:rFonts w:cstheme="minorHAnsi"/>
        </w:rPr>
        <w:t xml:space="preserve">ed as the average </w:t>
      </w:r>
      <w:r w:rsidR="00285C41">
        <w:rPr>
          <w:rFonts w:cstheme="minorHAnsi"/>
        </w:rPr>
        <w:t xml:space="preserve">number of </w:t>
      </w:r>
      <w:r>
        <w:rPr>
          <w:rFonts w:cstheme="minorHAnsi"/>
        </w:rPr>
        <w:t xml:space="preserve">plant species </w:t>
      </w:r>
      <w:r w:rsidRPr="00C37F66">
        <w:rPr>
          <w:rFonts w:cstheme="minorHAnsi"/>
        </w:rPr>
        <w:t>in standard 1-m</w:t>
      </w:r>
      <w:r w:rsidRPr="00C37F66">
        <w:rPr>
          <w:rFonts w:cstheme="minorHAnsi"/>
          <w:vertAlign w:val="superscript"/>
        </w:rPr>
        <w:t>2</w:t>
      </w:r>
      <w:r w:rsidRPr="00C37F66">
        <w:rPr>
          <w:rFonts w:cstheme="minorHAnsi"/>
        </w:rPr>
        <w:t xml:space="preserve"> plots over the </w:t>
      </w:r>
      <w:r>
        <w:rPr>
          <w:rFonts w:cstheme="minorHAnsi"/>
        </w:rPr>
        <w:t>duration of post-treatment data.</w:t>
      </w:r>
      <w:r w:rsidR="00DA4857">
        <w:rPr>
          <w:rFonts w:cstheme="minorHAnsi"/>
        </w:rPr>
        <w:t xml:space="preserve"> Species evenness was </w:t>
      </w:r>
      <w:r w:rsidR="008336FE" w:rsidRPr="00C37F66">
        <w:rPr>
          <w:rFonts w:cstheme="minorHAnsi"/>
        </w:rPr>
        <w:t>quantifi</w:t>
      </w:r>
      <w:r w:rsidR="008336FE">
        <w:rPr>
          <w:rFonts w:cstheme="minorHAnsi"/>
        </w:rPr>
        <w:t xml:space="preserve">ed </w:t>
      </w:r>
      <w:r w:rsidR="00DC4E90">
        <w:rPr>
          <w:rFonts w:cstheme="minorHAnsi"/>
        </w:rPr>
        <w:t xml:space="preserve">in the same plots </w:t>
      </w:r>
      <w:r w:rsidR="008336FE">
        <w:rPr>
          <w:rFonts w:cstheme="minorHAnsi"/>
        </w:rPr>
        <w:t xml:space="preserve">as the </w:t>
      </w:r>
      <w:r w:rsidR="008336FE" w:rsidRPr="0040642C">
        <w:rPr>
          <w:rFonts w:cstheme="minorHAnsi"/>
        </w:rPr>
        <w:t xml:space="preserve">average </w:t>
      </w:r>
      <w:r w:rsidR="00DA4857" w:rsidRPr="0040642C">
        <w:rPr>
          <w:rFonts w:cstheme="minorHAnsi"/>
        </w:rPr>
        <w:t>Pielou’s</w:t>
      </w:r>
      <w:r w:rsidR="00285C41" w:rsidRPr="0040642C">
        <w:rPr>
          <w:rFonts w:cstheme="minorHAnsi"/>
        </w:rPr>
        <w:t xml:space="preserve"> evenness </w:t>
      </w:r>
      <w:r w:rsidR="008336FE" w:rsidRPr="0040642C">
        <w:rPr>
          <w:rFonts w:cstheme="minorHAnsi"/>
        </w:rPr>
        <w:t>by taking</w:t>
      </w:r>
      <w:r w:rsidR="00285C41" w:rsidRPr="0040642C">
        <w:rPr>
          <w:rFonts w:cstheme="minorHAnsi"/>
        </w:rPr>
        <w:t xml:space="preserve"> </w:t>
      </w:r>
      <w:r w:rsidR="00560039" w:rsidRPr="0040642C">
        <w:rPr>
          <w:rFonts w:cstheme="minorHAnsi"/>
        </w:rPr>
        <w:t xml:space="preserve">the </w:t>
      </w:r>
      <w:r w:rsidR="004A48AD" w:rsidRPr="0040642C">
        <w:rPr>
          <w:rFonts w:cstheme="minorHAnsi"/>
        </w:rPr>
        <w:t xml:space="preserve">average </w:t>
      </w:r>
      <w:r w:rsidR="00560039" w:rsidRPr="0040642C">
        <w:rPr>
          <w:rFonts w:cstheme="minorHAnsi"/>
        </w:rPr>
        <w:t xml:space="preserve">of </w:t>
      </w:r>
      <w:r w:rsidR="00DA4857" w:rsidRPr="0040642C">
        <w:rPr>
          <w:rFonts w:cstheme="minorHAnsi"/>
        </w:rPr>
        <w:t xml:space="preserve">the ratio of the </w:t>
      </w:r>
      <w:r w:rsidR="00285C41" w:rsidRPr="0040642C">
        <w:rPr>
          <w:rFonts w:cstheme="minorHAnsi"/>
        </w:rPr>
        <w:t>Shannon–Weav</w:t>
      </w:r>
      <w:r w:rsidR="00DA4857" w:rsidRPr="0040642C">
        <w:rPr>
          <w:rFonts w:cstheme="minorHAnsi"/>
        </w:rPr>
        <w:t>er index and the natural logarithm of species richness.</w:t>
      </w:r>
      <w:r w:rsidR="004422BA" w:rsidRPr="0040642C">
        <w:rPr>
          <w:rFonts w:cstheme="minorHAnsi"/>
        </w:rPr>
        <w:t xml:space="preserve"> </w:t>
      </w:r>
      <w:r w:rsidR="008336FE" w:rsidRPr="0040642C">
        <w:rPr>
          <w:rFonts w:cstheme="minorHAnsi"/>
        </w:rPr>
        <w:t xml:space="preserve">Gamma diversity was quantified as the </w:t>
      </w:r>
      <w:r w:rsidR="004A48AD" w:rsidRPr="0040642C">
        <w:rPr>
          <w:rFonts w:cstheme="minorHAnsi"/>
        </w:rPr>
        <w:t xml:space="preserve">average </w:t>
      </w:r>
      <w:r w:rsidR="008336FE" w:rsidRPr="0040642C">
        <w:rPr>
          <w:rFonts w:cstheme="minorHAnsi"/>
        </w:rPr>
        <w:t xml:space="preserve">number of plant species across </w:t>
      </w:r>
      <w:r w:rsidR="004A48AD" w:rsidRPr="0040642C">
        <w:rPr>
          <w:rFonts w:cstheme="minorHAnsi"/>
        </w:rPr>
        <w:t xml:space="preserve">the three replicated </w:t>
      </w:r>
      <w:r w:rsidR="00DC4E90" w:rsidRPr="0040642C">
        <w:rPr>
          <w:rFonts w:cstheme="minorHAnsi"/>
        </w:rPr>
        <w:t>standard 1-m</w:t>
      </w:r>
      <w:r w:rsidR="00DC4E90" w:rsidRPr="0040642C">
        <w:rPr>
          <w:rFonts w:cstheme="minorHAnsi"/>
          <w:vertAlign w:val="superscript"/>
        </w:rPr>
        <w:t>2</w:t>
      </w:r>
      <w:r w:rsidR="00DC4E90" w:rsidRPr="0040642C">
        <w:rPr>
          <w:rFonts w:cstheme="minorHAnsi"/>
        </w:rPr>
        <w:t xml:space="preserve"> plots</w:t>
      </w:r>
      <w:r w:rsidR="004A48AD" w:rsidRPr="0040642C">
        <w:rPr>
          <w:rFonts w:cstheme="minorHAnsi"/>
        </w:rPr>
        <w:t xml:space="preserve">. </w:t>
      </w:r>
      <w:r w:rsidR="0068784D" w:rsidRPr="0040642C">
        <w:rPr>
          <w:rFonts w:cstheme="minorHAnsi"/>
        </w:rPr>
        <w:t>Following theoretical models</w:t>
      </w:r>
      <w:r w:rsidR="00AE4D49" w:rsidRPr="0040642C">
        <w:rPr>
          <w:rFonts w:cstheme="minorHAnsi"/>
        </w:rPr>
        <w:t xml:space="preserve"> (Wang et al. 2016 EL)</w:t>
      </w:r>
      <w:r w:rsidR="0068784D" w:rsidRPr="0040642C">
        <w:rPr>
          <w:rFonts w:cstheme="minorHAnsi"/>
        </w:rPr>
        <w:t xml:space="preserve">, </w:t>
      </w:r>
      <w:r w:rsidR="00AE4D49" w:rsidRPr="0040642C">
        <w:rPr>
          <w:rFonts w:cstheme="minorHAnsi"/>
        </w:rPr>
        <w:t xml:space="preserve">richness- and abundance-based </w:t>
      </w:r>
      <w:r w:rsidR="0068784D" w:rsidRPr="0040642C">
        <w:rPr>
          <w:rFonts w:cstheme="minorHAnsi"/>
        </w:rPr>
        <w:t>b</w:t>
      </w:r>
      <w:r w:rsidR="008336FE" w:rsidRPr="0040642C">
        <w:rPr>
          <w:rFonts w:cstheme="minorHAnsi"/>
        </w:rPr>
        <w:t xml:space="preserve">eta diversity </w:t>
      </w:r>
      <w:r w:rsidR="006C6534" w:rsidRPr="0040642C">
        <w:rPr>
          <w:rFonts w:cstheme="minorHAnsi"/>
        </w:rPr>
        <w:t xml:space="preserve">indices </w:t>
      </w:r>
      <w:r w:rsidR="008336FE" w:rsidRPr="0040642C">
        <w:rPr>
          <w:rFonts w:cstheme="minorHAnsi"/>
        </w:rPr>
        <w:t>w</w:t>
      </w:r>
      <w:r w:rsidR="00AE4D49" w:rsidRPr="0040642C">
        <w:rPr>
          <w:rFonts w:cstheme="minorHAnsi"/>
        </w:rPr>
        <w:t>ere</w:t>
      </w:r>
      <w:r w:rsidR="008336FE" w:rsidRPr="0040642C">
        <w:rPr>
          <w:rFonts w:cstheme="minorHAnsi"/>
        </w:rPr>
        <w:t xml:space="preserve"> quantified </w:t>
      </w:r>
      <w:r w:rsidR="00C9790C" w:rsidRPr="0040642C">
        <w:rPr>
          <w:rFonts w:cstheme="minorHAnsi"/>
        </w:rPr>
        <w:t xml:space="preserve">for each metacommunity </w:t>
      </w:r>
      <w:r w:rsidR="001C0767" w:rsidRPr="0040642C">
        <w:rPr>
          <w:rFonts w:cstheme="minorHAnsi"/>
        </w:rPr>
        <w:t xml:space="preserve">and duration period </w:t>
      </w:r>
      <w:r w:rsidR="008336FE" w:rsidRPr="0040642C">
        <w:rPr>
          <w:rFonts w:cstheme="minorHAnsi"/>
        </w:rPr>
        <w:t xml:space="preserve">as the multiplicative </w:t>
      </w:r>
      <w:r w:rsidR="004A48AD" w:rsidRPr="0040642C">
        <w:rPr>
          <w:rFonts w:cstheme="minorHAnsi"/>
        </w:rPr>
        <w:t>partitioning of gamma diversity</w:t>
      </w:r>
      <w:r w:rsidR="00BF2AAB">
        <w:rPr>
          <w:rFonts w:cstheme="minorHAnsi"/>
        </w:rPr>
        <w:t xml:space="preserve">: beta = gamma/alpha </w:t>
      </w:r>
      <w:r w:rsidR="006C6534" w:rsidRPr="0040642C">
        <w:rPr>
          <w:rFonts w:cstheme="minorHAnsi"/>
        </w:rPr>
        <w:t>(Whittaker 1972)</w:t>
      </w:r>
      <w:r w:rsidR="00AE4D49" w:rsidRPr="0040642C">
        <w:rPr>
          <w:rFonts w:cstheme="minorHAnsi"/>
        </w:rPr>
        <w:t xml:space="preserve">. </w:t>
      </w:r>
      <w:r w:rsidR="00BF2AAB">
        <w:rPr>
          <w:rFonts w:cstheme="minorHAnsi"/>
        </w:rPr>
        <w:t>For r</w:t>
      </w:r>
      <w:r w:rsidR="0068784D" w:rsidRPr="0040642C">
        <w:rPr>
          <w:rFonts w:cstheme="minorHAnsi"/>
        </w:rPr>
        <w:t xml:space="preserve">ichness-based </w:t>
      </w:r>
      <w:r w:rsidR="00BF2AAB">
        <w:rPr>
          <w:rFonts w:cstheme="minorHAnsi"/>
        </w:rPr>
        <w:t xml:space="preserve">beta diversity, </w:t>
      </w:r>
      <w:r w:rsidR="00BF2AAB" w:rsidRPr="0040642C">
        <w:rPr>
          <w:rFonts w:cstheme="minorHAnsi"/>
        </w:rPr>
        <w:t xml:space="preserve">gamma diversity </w:t>
      </w:r>
      <w:r w:rsidR="00BF2AAB">
        <w:rPr>
          <w:rFonts w:cstheme="minorHAnsi"/>
        </w:rPr>
        <w:t>is defined as the number of species</w:t>
      </w:r>
      <w:r w:rsidR="004A48AD" w:rsidRPr="0040642C">
        <w:rPr>
          <w:rFonts w:cstheme="minorHAnsi"/>
        </w:rPr>
        <w:t xml:space="preserve"> </w:t>
      </w:r>
      <w:r w:rsidR="00BF2AAB" w:rsidRPr="00BF2AAB">
        <w:rPr>
          <w:rFonts w:cstheme="minorHAnsi"/>
        </w:rPr>
        <w:t>over the whole metacommunity</w:t>
      </w:r>
      <w:r w:rsidR="00BF2AAB">
        <w:rPr>
          <w:rFonts w:cstheme="minorHAnsi"/>
        </w:rPr>
        <w:t xml:space="preserve"> </w:t>
      </w:r>
      <w:r w:rsidR="004A48AD" w:rsidRPr="0040642C">
        <w:rPr>
          <w:rFonts w:cstheme="minorHAnsi"/>
        </w:rPr>
        <w:t>and</w:t>
      </w:r>
      <w:r w:rsidR="004A48AD">
        <w:rPr>
          <w:rFonts w:cstheme="minorHAnsi"/>
        </w:rPr>
        <w:t xml:space="preserve"> </w:t>
      </w:r>
      <w:r w:rsidR="00BF2AAB">
        <w:rPr>
          <w:rFonts w:cstheme="minorHAnsi"/>
        </w:rPr>
        <w:t>alpha diversity as the average number of species</w:t>
      </w:r>
      <w:r w:rsidR="000C19EE">
        <w:rPr>
          <w:rFonts w:cstheme="minorHAnsi"/>
        </w:rPr>
        <w:t xml:space="preserve"> within </w:t>
      </w:r>
      <w:r w:rsidR="00C9790C">
        <w:rPr>
          <w:rFonts w:cstheme="minorHAnsi"/>
        </w:rPr>
        <w:t>a metacommunity</w:t>
      </w:r>
      <w:r w:rsidR="004A48AD">
        <w:rPr>
          <w:rFonts w:cstheme="minorHAnsi"/>
        </w:rPr>
        <w:t>.</w:t>
      </w:r>
      <w:r w:rsidR="00413BE6" w:rsidRPr="00413BE6">
        <w:rPr>
          <w:rFonts w:cstheme="minorHAnsi"/>
        </w:rPr>
        <w:t xml:space="preserve"> </w:t>
      </w:r>
      <w:r w:rsidR="00BF2AAB">
        <w:rPr>
          <w:rFonts w:cstheme="minorHAnsi"/>
        </w:rPr>
        <w:t>For a</w:t>
      </w:r>
      <w:r w:rsidR="0068784D">
        <w:rPr>
          <w:rFonts w:cstheme="minorHAnsi"/>
        </w:rPr>
        <w:t xml:space="preserve">bundance-based </w:t>
      </w:r>
      <w:r w:rsidR="00AE4D49">
        <w:t>beta diversity</w:t>
      </w:r>
      <w:r w:rsidR="00BF2AAB">
        <w:t>,</w:t>
      </w:r>
      <w:r w:rsidR="00AE4D49">
        <w:t xml:space="preserve"> </w:t>
      </w:r>
      <w:r w:rsidR="00BF2AAB" w:rsidRPr="0040642C">
        <w:rPr>
          <w:rFonts w:cstheme="minorHAnsi"/>
        </w:rPr>
        <w:t xml:space="preserve">gamma diversity </w:t>
      </w:r>
      <w:r w:rsidR="00BF2AAB">
        <w:rPr>
          <w:rFonts w:cstheme="minorHAnsi"/>
        </w:rPr>
        <w:t xml:space="preserve">is defined as the </w:t>
      </w:r>
      <w:r w:rsidR="000410ED" w:rsidRPr="000410ED">
        <w:rPr>
          <w:rFonts w:cstheme="minorHAnsi"/>
        </w:rPr>
        <w:t xml:space="preserve">inverse Simpson index over the whole metacommunity </w:t>
      </w:r>
      <w:r w:rsidR="00BF2AAB" w:rsidRPr="0040642C">
        <w:rPr>
          <w:rFonts w:cstheme="minorHAnsi"/>
        </w:rPr>
        <w:t>and</w:t>
      </w:r>
      <w:r w:rsidR="00BF2AAB">
        <w:rPr>
          <w:rFonts w:cstheme="minorHAnsi"/>
        </w:rPr>
        <w:t xml:space="preserve"> alpha diversity </w:t>
      </w:r>
      <w:r w:rsidR="00EB4499">
        <w:rPr>
          <w:rFonts w:cstheme="minorHAnsi"/>
        </w:rPr>
        <w:t xml:space="preserve">as the </w:t>
      </w:r>
      <w:r w:rsidR="00BF2AAB" w:rsidRPr="00BF2AAB">
        <w:rPr>
          <w:rFonts w:cstheme="minorHAnsi"/>
        </w:rPr>
        <w:t>inverse of average Simpson indice</w:t>
      </w:r>
      <w:r w:rsidR="00BF2AAB">
        <w:rPr>
          <w:rFonts w:cstheme="minorHAnsi"/>
        </w:rPr>
        <w:t>s</w:t>
      </w:r>
      <w:r w:rsidR="00BF2AAB" w:rsidRPr="00BF2AAB">
        <w:rPr>
          <w:rFonts w:cstheme="minorHAnsi"/>
        </w:rPr>
        <w:t xml:space="preserve"> </w:t>
      </w:r>
      <w:r w:rsidR="00BF2AAB">
        <w:rPr>
          <w:rFonts w:cstheme="minorHAnsi"/>
        </w:rPr>
        <w:t>within a metacommunity</w:t>
      </w:r>
      <w:r w:rsidR="007E5344" w:rsidRPr="007E5344">
        <w:t xml:space="preserve"> </w:t>
      </w:r>
      <w:r w:rsidR="007E5344">
        <w:t>(</w:t>
      </w:r>
      <w:r w:rsidR="007E5344" w:rsidRPr="007E5344">
        <w:rPr>
          <w:rFonts w:cstheme="minorHAnsi"/>
        </w:rPr>
        <w:t>Olszewski 2004</w:t>
      </w:r>
      <w:r w:rsidR="007E5344">
        <w:rPr>
          <w:rFonts w:cstheme="minorHAnsi"/>
        </w:rPr>
        <w:t>)</w:t>
      </w:r>
      <w:r w:rsidR="00BF2AAB">
        <w:rPr>
          <w:rFonts w:cstheme="minorHAnsi"/>
        </w:rPr>
        <w:t>.</w:t>
      </w:r>
      <w:r w:rsidR="00D70266">
        <w:rPr>
          <w:rFonts w:cstheme="minorHAnsi"/>
        </w:rPr>
        <w:t xml:space="preserve"> </w:t>
      </w:r>
      <w:r w:rsidR="0041527C">
        <w:rPr>
          <w:rFonts w:cstheme="minorHAnsi"/>
        </w:rPr>
        <w:t xml:space="preserve">We used </w:t>
      </w:r>
      <w:r w:rsidR="0041527C" w:rsidRPr="0041527C">
        <w:rPr>
          <w:rFonts w:cstheme="minorHAnsi"/>
        </w:rPr>
        <w:t>richness-</w:t>
      </w:r>
      <w:r w:rsidR="0068784D">
        <w:rPr>
          <w:rFonts w:cstheme="minorHAnsi"/>
        </w:rPr>
        <w:t xml:space="preserve"> and abundance-</w:t>
      </w:r>
      <w:r w:rsidR="0041527C" w:rsidRPr="0041527C">
        <w:rPr>
          <w:rFonts w:cstheme="minorHAnsi"/>
        </w:rPr>
        <w:t xml:space="preserve">based </w:t>
      </w:r>
      <w:r w:rsidR="00D70266">
        <w:rPr>
          <w:rFonts w:cstheme="minorHAnsi"/>
        </w:rPr>
        <w:t xml:space="preserve">beta </w:t>
      </w:r>
      <w:r w:rsidR="0041527C" w:rsidRPr="0041527C">
        <w:rPr>
          <w:rFonts w:cstheme="minorHAnsi"/>
        </w:rPr>
        <w:t xml:space="preserve">diversity </w:t>
      </w:r>
      <w:r w:rsidR="00D70266">
        <w:rPr>
          <w:rFonts w:cstheme="minorHAnsi"/>
        </w:rPr>
        <w:t>indices</w:t>
      </w:r>
      <w:r w:rsidR="0041527C" w:rsidRPr="0041527C">
        <w:t xml:space="preserve"> </w:t>
      </w:r>
      <w:r w:rsidR="0041527C">
        <w:rPr>
          <w:rFonts w:cstheme="minorHAnsi"/>
        </w:rPr>
        <w:t xml:space="preserve">because </w:t>
      </w:r>
      <w:r w:rsidR="00D70266">
        <w:rPr>
          <w:rFonts w:cstheme="minorHAnsi"/>
        </w:rPr>
        <w:t>they are</w:t>
      </w:r>
      <w:r w:rsidR="0041527C" w:rsidRPr="0041527C">
        <w:rPr>
          <w:rFonts w:cstheme="minorHAnsi"/>
        </w:rPr>
        <w:t xml:space="preserve"> </w:t>
      </w:r>
      <w:r w:rsidR="00CF4664" w:rsidRPr="0041527C">
        <w:rPr>
          <w:rFonts w:cstheme="minorHAnsi"/>
        </w:rPr>
        <w:t>directly</w:t>
      </w:r>
      <w:r w:rsidR="00CF4664">
        <w:rPr>
          <w:rFonts w:cstheme="minorHAnsi"/>
        </w:rPr>
        <w:t xml:space="preserve"> </w:t>
      </w:r>
      <w:r w:rsidR="0041527C" w:rsidRPr="0041527C">
        <w:rPr>
          <w:rFonts w:cstheme="minorHAnsi"/>
        </w:rPr>
        <w:t xml:space="preserve">linked to ecosystem </w:t>
      </w:r>
      <w:r w:rsidR="0041527C">
        <w:rPr>
          <w:rFonts w:cstheme="minorHAnsi"/>
        </w:rPr>
        <w:t>stability</w:t>
      </w:r>
      <w:r w:rsidR="0041527C" w:rsidRPr="0041527C">
        <w:rPr>
          <w:rFonts w:cstheme="minorHAnsi"/>
        </w:rPr>
        <w:t xml:space="preserve"> in </w:t>
      </w:r>
      <w:r w:rsidR="0041527C">
        <w:rPr>
          <w:rFonts w:cstheme="minorHAnsi"/>
        </w:rPr>
        <w:t>theoretical</w:t>
      </w:r>
      <w:r w:rsidR="0041527C" w:rsidRPr="0041527C">
        <w:rPr>
          <w:rFonts w:cstheme="minorHAnsi"/>
        </w:rPr>
        <w:t xml:space="preserve"> model</w:t>
      </w:r>
      <w:r w:rsidR="0041527C">
        <w:rPr>
          <w:rFonts w:cstheme="minorHAnsi"/>
        </w:rPr>
        <w:t xml:space="preserve">s </w:t>
      </w:r>
      <w:r w:rsidR="00CF4664">
        <w:rPr>
          <w:rFonts w:cstheme="minorHAnsi"/>
        </w:rPr>
        <w:t xml:space="preserve">and thus directly comparable to theories </w:t>
      </w:r>
      <w:r w:rsidR="0041527C">
        <w:rPr>
          <w:rFonts w:cstheme="minorHAnsi"/>
        </w:rPr>
        <w:t xml:space="preserve">(Wang et al 2014, 2016). </w:t>
      </w:r>
      <w:r w:rsidR="00C4510A">
        <w:t xml:space="preserve">Results of our analyses using inverse Simpson and </w:t>
      </w:r>
      <w:r w:rsidR="00C4510A">
        <w:rPr>
          <w:rFonts w:cstheme="minorHAnsi"/>
        </w:rPr>
        <w:t>r</w:t>
      </w:r>
      <w:r w:rsidR="00C4510A" w:rsidRPr="0040642C">
        <w:rPr>
          <w:rFonts w:cstheme="minorHAnsi"/>
        </w:rPr>
        <w:t xml:space="preserve">ichness-based </w:t>
      </w:r>
      <w:r w:rsidR="00C4510A">
        <w:rPr>
          <w:rFonts w:cstheme="minorHAnsi"/>
        </w:rPr>
        <w:t>beta diversity</w:t>
      </w:r>
      <w:r w:rsidR="00C4510A">
        <w:t xml:space="preserve"> did not differ qualitatively from the results presented in the text using species richness and </w:t>
      </w:r>
      <w:r w:rsidR="00C4510A" w:rsidRPr="0040642C">
        <w:rPr>
          <w:rFonts w:cstheme="minorHAnsi"/>
        </w:rPr>
        <w:t xml:space="preserve">abundance-based beta diversity </w:t>
      </w:r>
      <w:r w:rsidR="00C4510A">
        <w:t xml:space="preserve">(Figures S5). </w:t>
      </w:r>
      <w:r w:rsidR="00413BE6">
        <w:rPr>
          <w:rFonts w:cstheme="minorHAnsi"/>
        </w:rPr>
        <w:t>We used the R functions ‘diversity’</w:t>
      </w:r>
      <w:r w:rsidR="000E0C2D">
        <w:rPr>
          <w:rFonts w:cstheme="minorHAnsi"/>
        </w:rPr>
        <w:t>,</w:t>
      </w:r>
      <w:r w:rsidR="00413BE6">
        <w:rPr>
          <w:rFonts w:cstheme="minorHAnsi"/>
        </w:rPr>
        <w:t xml:space="preserve"> </w:t>
      </w:r>
      <w:r w:rsidR="00202FE3">
        <w:rPr>
          <w:rFonts w:cstheme="minorHAnsi"/>
        </w:rPr>
        <w:t xml:space="preserve">‘specnumber’, and ‘vegdist’ </w:t>
      </w:r>
      <w:r w:rsidR="00413BE6">
        <w:rPr>
          <w:rFonts w:cstheme="minorHAnsi"/>
        </w:rPr>
        <w:t>to calculate Shannon</w:t>
      </w:r>
      <w:r w:rsidR="008419D6">
        <w:rPr>
          <w:rFonts w:cstheme="minorHAnsi"/>
        </w:rPr>
        <w:t>-</w:t>
      </w:r>
      <w:r w:rsidR="00202FE3">
        <w:rPr>
          <w:rFonts w:cstheme="minorHAnsi"/>
        </w:rPr>
        <w:t>Weaver, Simpson and</w:t>
      </w:r>
      <w:r w:rsidR="00C9790C">
        <w:rPr>
          <w:rFonts w:cstheme="minorHAnsi"/>
        </w:rPr>
        <w:t xml:space="preserve"> </w:t>
      </w:r>
      <w:r w:rsidR="00413BE6">
        <w:rPr>
          <w:rFonts w:cstheme="minorHAnsi"/>
        </w:rPr>
        <w:t xml:space="preserve">species richness </w:t>
      </w:r>
      <w:r w:rsidR="00202FE3">
        <w:rPr>
          <w:rFonts w:cstheme="minorHAnsi"/>
        </w:rPr>
        <w:t xml:space="preserve">indices </w:t>
      </w:r>
      <w:r w:rsidR="00413BE6">
        <w:rPr>
          <w:rFonts w:cstheme="minorHAnsi"/>
        </w:rPr>
        <w:t xml:space="preserve">within and across </w:t>
      </w:r>
      <w:r w:rsidR="00C47DAB">
        <w:rPr>
          <w:rFonts w:cstheme="minorHAnsi"/>
        </w:rPr>
        <w:t xml:space="preserve">replicated </w:t>
      </w:r>
      <w:r w:rsidR="00413BE6">
        <w:rPr>
          <w:rFonts w:cstheme="minorHAnsi"/>
        </w:rPr>
        <w:t>plots</w:t>
      </w:r>
      <w:r w:rsidR="00202FE3">
        <w:rPr>
          <w:rFonts w:cstheme="minorHAnsi"/>
        </w:rPr>
        <w:t xml:space="preserve"> </w:t>
      </w:r>
      <w:r w:rsidR="00721FE9">
        <w:rPr>
          <w:rFonts w:cstheme="minorHAnsi"/>
        </w:rPr>
        <w:t xml:space="preserve">(Ref to </w:t>
      </w:r>
      <w:commentRangeStart w:id="0"/>
      <w:r w:rsidR="00721FE9">
        <w:rPr>
          <w:rFonts w:cstheme="minorHAnsi"/>
        </w:rPr>
        <w:t>vegan</w:t>
      </w:r>
      <w:commentRangeEnd w:id="0"/>
      <w:r w:rsidR="00312E41">
        <w:rPr>
          <w:rStyle w:val="CommentReference"/>
        </w:rPr>
        <w:commentReference w:id="0"/>
      </w:r>
      <w:r w:rsidR="00721FE9">
        <w:rPr>
          <w:rFonts w:cstheme="minorHAnsi"/>
        </w:rPr>
        <w:t>)</w:t>
      </w:r>
      <w:r w:rsidR="00413BE6">
        <w:rPr>
          <w:rFonts w:cstheme="minorHAnsi"/>
        </w:rPr>
        <w:t>.</w:t>
      </w:r>
      <w:r w:rsidR="000A79FA" w:rsidRPr="000A79FA">
        <w:rPr>
          <w:rFonts w:cstheme="minorHAnsi"/>
        </w:rPr>
        <w:t xml:space="preserve"> </w:t>
      </w:r>
      <w:commentRangeStart w:id="1"/>
      <w:r w:rsidR="000A79FA">
        <w:rPr>
          <w:rFonts w:cstheme="minorHAnsi"/>
        </w:rPr>
        <w:t>We used the R function ‘</w:t>
      </w:r>
      <w:r w:rsidR="000A79FA" w:rsidRPr="00413BE6">
        <w:rPr>
          <w:rFonts w:cstheme="minorHAnsi"/>
        </w:rPr>
        <w:t>var.partition</w:t>
      </w:r>
      <w:r w:rsidR="000A79FA">
        <w:rPr>
          <w:rFonts w:cstheme="minorHAnsi"/>
        </w:rPr>
        <w:t>’</w:t>
      </w:r>
      <w:r w:rsidR="000A79FA" w:rsidRPr="00413BE6">
        <w:rPr>
          <w:rFonts w:cstheme="minorHAnsi"/>
        </w:rPr>
        <w:t xml:space="preserve"> to calculate </w:t>
      </w:r>
      <w:r w:rsidR="000A79FA">
        <w:rPr>
          <w:rFonts w:cstheme="minorHAnsi"/>
        </w:rPr>
        <w:t xml:space="preserve">asynchrony and stability across spatial scales </w:t>
      </w:r>
      <w:commentRangeEnd w:id="1"/>
      <w:r w:rsidR="000A79FA">
        <w:rPr>
          <w:rStyle w:val="CommentReference"/>
        </w:rPr>
        <w:commentReference w:id="1"/>
      </w:r>
      <w:r w:rsidR="000A79FA">
        <w:rPr>
          <w:rFonts w:cstheme="minorHAnsi"/>
        </w:rPr>
        <w:t>(Wang et al Ecography 2019)</w:t>
      </w:r>
      <w:r w:rsidR="000A79FA" w:rsidRPr="00413BE6">
        <w:rPr>
          <w:rFonts w:cstheme="minorHAnsi"/>
        </w:rPr>
        <w:t>.</w:t>
      </w:r>
    </w:p>
    <w:p w14:paraId="6328B4F7" w14:textId="4BE5BE74" w:rsidR="004422BA" w:rsidRPr="000A79FA" w:rsidRDefault="000A79FA" w:rsidP="00413BE6">
      <w:pPr>
        <w:rPr>
          <w:rFonts w:cstheme="minorHAnsi"/>
          <w:i/>
        </w:rPr>
      </w:pPr>
      <w:r w:rsidRPr="000A79FA">
        <w:rPr>
          <w:rFonts w:cstheme="minorHAnsi"/>
          <w:i/>
        </w:rPr>
        <w:t>Climate data</w:t>
      </w:r>
    </w:p>
    <w:p w14:paraId="5B744ED2" w14:textId="65D287BE" w:rsidR="004E4565" w:rsidRDefault="000F122A" w:rsidP="003613F7">
      <w:pPr>
        <w:rPr>
          <w:rFonts w:cstheme="minorHAnsi"/>
        </w:rPr>
      </w:pPr>
      <w:r>
        <w:rPr>
          <w:rFonts w:cstheme="minorHAnsi"/>
        </w:rPr>
        <w:t xml:space="preserve">Precipitation and temperature seasonality were estimated </w:t>
      </w:r>
      <w:r w:rsidRPr="004E4565">
        <w:rPr>
          <w:rFonts w:cstheme="minorHAnsi"/>
        </w:rPr>
        <w:t xml:space="preserve">for each site </w:t>
      </w:r>
      <w:r>
        <w:rPr>
          <w:rFonts w:cstheme="minorHAnsi"/>
        </w:rPr>
        <w:t>using the</w:t>
      </w:r>
      <w:r w:rsidR="004E4565" w:rsidRPr="004E4565">
        <w:rPr>
          <w:rFonts w:cstheme="minorHAnsi"/>
        </w:rPr>
        <w:t xml:space="preserve"> long-term </w:t>
      </w:r>
      <w:r>
        <w:rPr>
          <w:rFonts w:cstheme="minorHAnsi"/>
        </w:rPr>
        <w:t>coefficient of variation of</w:t>
      </w:r>
      <w:r w:rsidR="000A79FA">
        <w:rPr>
          <w:rFonts w:cstheme="minorHAnsi"/>
        </w:rPr>
        <w:t xml:space="preserve"> precipitation (</w:t>
      </w:r>
      <w:r w:rsidR="004E4565" w:rsidRPr="004E4565">
        <w:rPr>
          <w:rFonts w:cstheme="minorHAnsi"/>
        </w:rPr>
        <w:t>MAP</w:t>
      </w:r>
      <w:r>
        <w:rPr>
          <w:rFonts w:cstheme="minorHAnsi"/>
        </w:rPr>
        <w:t>_VAR</w:t>
      </w:r>
      <w:r w:rsidR="000A79FA">
        <w:rPr>
          <w:rFonts w:cstheme="minorHAnsi"/>
        </w:rPr>
        <w:t>) and temperature (MAT</w:t>
      </w:r>
      <w:r>
        <w:rPr>
          <w:rFonts w:cstheme="minorHAnsi"/>
        </w:rPr>
        <w:t>_VAR</w:t>
      </w:r>
      <w:r w:rsidR="000A79FA">
        <w:rPr>
          <w:rFonts w:cstheme="minorHAnsi"/>
        </w:rPr>
        <w:t>)</w:t>
      </w:r>
      <w:r w:rsidR="004E4565" w:rsidRPr="004E4565">
        <w:rPr>
          <w:rFonts w:cstheme="minorHAnsi"/>
        </w:rPr>
        <w:t xml:space="preserve"> </w:t>
      </w:r>
      <w:r>
        <w:rPr>
          <w:rFonts w:cstheme="minorHAnsi"/>
        </w:rPr>
        <w:t xml:space="preserve">respectively </w:t>
      </w:r>
      <w:r w:rsidR="004E4565" w:rsidRPr="004E4565">
        <w:rPr>
          <w:rFonts w:cstheme="minorHAnsi"/>
        </w:rPr>
        <w:t>der</w:t>
      </w:r>
      <w:r>
        <w:rPr>
          <w:rFonts w:cstheme="minorHAnsi"/>
        </w:rPr>
        <w:t xml:space="preserve">ived </w:t>
      </w:r>
      <w:r w:rsidR="000A79FA">
        <w:rPr>
          <w:rFonts w:cstheme="minorHAnsi"/>
        </w:rPr>
        <w:t xml:space="preserve">from the </w:t>
      </w:r>
      <w:r w:rsidR="003613F7">
        <w:rPr>
          <w:rFonts w:cstheme="minorHAnsi"/>
        </w:rPr>
        <w:t xml:space="preserve">WorldClim Global Climate </w:t>
      </w:r>
      <w:r w:rsidR="003613F7" w:rsidRPr="003613F7">
        <w:rPr>
          <w:rFonts w:cstheme="minorHAnsi"/>
        </w:rPr>
        <w:t xml:space="preserve">database (version 1.4; http://www.worldclim.org/) </w:t>
      </w:r>
      <w:commentRangeStart w:id="2"/>
      <w:r w:rsidR="000A79FA">
        <w:rPr>
          <w:rFonts w:cstheme="minorHAnsi"/>
        </w:rPr>
        <w:t>()</w:t>
      </w:r>
      <w:commentRangeEnd w:id="2"/>
      <w:r w:rsidR="000A79FA">
        <w:rPr>
          <w:rStyle w:val="CommentReference"/>
        </w:rPr>
        <w:commentReference w:id="2"/>
      </w:r>
      <w:r w:rsidR="00E24072">
        <w:rPr>
          <w:rFonts w:cstheme="minorHAnsi"/>
        </w:rPr>
        <w:t>.</w:t>
      </w:r>
    </w:p>
    <w:p w14:paraId="4A93135A" w14:textId="0AF56E28" w:rsidR="00463697" w:rsidRPr="00AD377F" w:rsidRDefault="00AD377F" w:rsidP="003D2270">
      <w:pPr>
        <w:rPr>
          <w:i/>
        </w:rPr>
      </w:pPr>
      <w:r w:rsidRPr="00AD377F">
        <w:rPr>
          <w:i/>
        </w:rPr>
        <w:t>Analyses</w:t>
      </w:r>
    </w:p>
    <w:p w14:paraId="2F79B201" w14:textId="77777777" w:rsidR="00636E6D" w:rsidRDefault="00636E6D" w:rsidP="00F63C05">
      <w:r>
        <w:t>All analyses were conducted in R 3.5.1 (ref to cran). To improve normality, stability and asynchrony measures were logarithm transformed before analyses.</w:t>
      </w:r>
    </w:p>
    <w:p w14:paraId="75DD6B69" w14:textId="3F9E7CA9" w:rsidR="005069A3" w:rsidRDefault="005D2E5D" w:rsidP="00F63C05">
      <w:pPr>
        <w:rPr>
          <w:rFonts w:cstheme="minorHAnsi"/>
        </w:rPr>
      </w:pPr>
      <w:r>
        <w:t xml:space="preserve">First, we used bivariate analyses and linear models to </w:t>
      </w:r>
      <w:r w:rsidR="00DB6C30">
        <w:t xml:space="preserve">test the effect of fertilization and </w:t>
      </w:r>
      <w:r w:rsidR="00DB6C30">
        <w:rPr>
          <w:rFonts w:cstheme="minorHAnsi"/>
        </w:rPr>
        <w:t xml:space="preserve">period of experimental duration </w:t>
      </w:r>
      <w:r w:rsidR="00DB6C30">
        <w:t xml:space="preserve">on diversity-stability relationships </w:t>
      </w:r>
      <w:r>
        <w:t>at</w:t>
      </w:r>
      <w:r w:rsidR="00DB6C30">
        <w:t xml:space="preserve"> the two</w:t>
      </w:r>
      <w:r>
        <w:t xml:space="preserve"> spatial scales</w:t>
      </w:r>
      <w:r w:rsidR="00DB6C30">
        <w:t xml:space="preserve"> investigated</w:t>
      </w:r>
      <w:r>
        <w:t xml:space="preserve">. </w:t>
      </w:r>
      <w:r w:rsidR="00F63C05">
        <w:t xml:space="preserve">Models including an autocorrelation structure with a first-order autoregressive model (AR(1)), where observations are expected to be correlated from one year to the next, gave substantial improvement in model fit when compared with models lacking autocorrelation </w:t>
      </w:r>
      <w:commentRangeStart w:id="3"/>
      <w:r w:rsidR="00F63C05">
        <w:t>structure</w:t>
      </w:r>
      <w:commentRangeEnd w:id="3"/>
      <w:r w:rsidR="00F63C05">
        <w:rPr>
          <w:rStyle w:val="CommentReference"/>
        </w:rPr>
        <w:commentReference w:id="3"/>
      </w:r>
      <w:r w:rsidR="00F63C05">
        <w:t xml:space="preserve"> ().</w:t>
      </w:r>
      <w:r w:rsidR="007C3CA7">
        <w:t xml:space="preserve"> </w:t>
      </w:r>
      <w:r w:rsidR="005069A3">
        <w:rPr>
          <w:rFonts w:cstheme="minorHAnsi"/>
        </w:rPr>
        <w:t xml:space="preserve">Because plant diversity, </w:t>
      </w:r>
      <w:r w:rsidR="005069A3" w:rsidRPr="006F5860">
        <w:rPr>
          <w:rFonts w:cstheme="minorHAnsi"/>
        </w:rPr>
        <w:t>asynchronous dynamics</w:t>
      </w:r>
      <w:r w:rsidR="005069A3">
        <w:rPr>
          <w:rFonts w:cstheme="minorHAnsi"/>
        </w:rPr>
        <w:t xml:space="preserve"> and temporal stability</w:t>
      </w:r>
      <w:r w:rsidR="005069A3" w:rsidRPr="00D22495">
        <w:rPr>
          <w:rFonts w:cstheme="minorHAnsi"/>
        </w:rPr>
        <w:t xml:space="preserve"> </w:t>
      </w:r>
      <w:r w:rsidR="005069A3">
        <w:rPr>
          <w:rFonts w:cstheme="minorHAnsi"/>
        </w:rPr>
        <w:t>may be</w:t>
      </w:r>
      <w:r w:rsidR="005069A3" w:rsidRPr="00D22495">
        <w:rPr>
          <w:rFonts w:cstheme="minorHAnsi"/>
        </w:rPr>
        <w:t xml:space="preserve"> jointly controlled by </w:t>
      </w:r>
      <w:r w:rsidR="005069A3">
        <w:rPr>
          <w:rFonts w:cstheme="minorHAnsi"/>
        </w:rPr>
        <w:t xml:space="preserve">inter-annual climate variability, we run similar analyses on the residuals of models that included </w:t>
      </w:r>
      <w:r w:rsidR="005069A3" w:rsidRPr="00EB6C47">
        <w:rPr>
          <w:rFonts w:cstheme="minorHAnsi"/>
        </w:rPr>
        <w:t xml:space="preserve">the coefficient of variation among years </w:t>
      </w:r>
      <w:r w:rsidR="005069A3">
        <w:rPr>
          <w:rFonts w:cstheme="minorHAnsi"/>
        </w:rPr>
        <w:t>for each of</w:t>
      </w:r>
      <w:r w:rsidR="00FB69EE">
        <w:rPr>
          <w:rFonts w:cstheme="minorHAnsi"/>
        </w:rPr>
        <w:t xml:space="preserve"> temperature and precipitation</w:t>
      </w:r>
      <w:r w:rsidR="005069A3">
        <w:rPr>
          <w:rFonts w:cstheme="minorHAnsi"/>
        </w:rPr>
        <w:t xml:space="preserve">. </w:t>
      </w:r>
      <w:r w:rsidR="007C3CA7">
        <w:t xml:space="preserve">Results of our analyses </w:t>
      </w:r>
      <w:r w:rsidR="00FB69EE">
        <w:t>controlling for</w:t>
      </w:r>
      <w:r w:rsidR="007C3CA7">
        <w:t xml:space="preserve"> </w:t>
      </w:r>
      <w:r w:rsidR="007C3CA7">
        <w:rPr>
          <w:rFonts w:cstheme="minorHAnsi"/>
        </w:rPr>
        <w:t>inter-annual climate variability</w:t>
      </w:r>
      <w:r w:rsidR="007C3CA7">
        <w:t xml:space="preserve"> did not differ qualitatively from the results presented in the text (Figures S</w:t>
      </w:r>
      <w:r w:rsidR="005461DC">
        <w:t>4</w:t>
      </w:r>
      <w:r w:rsidR="007C3CA7">
        <w:t>).</w:t>
      </w:r>
    </w:p>
    <w:p w14:paraId="491C669C" w14:textId="1EE5D649" w:rsidR="00D52465" w:rsidRPr="0072279F" w:rsidRDefault="003F506F" w:rsidP="0072279F">
      <w:pPr>
        <w:rPr>
          <w:rFonts w:cstheme="minorHAnsi"/>
        </w:rPr>
      </w:pPr>
      <w:r>
        <w:lastRenderedPageBreak/>
        <w:t>Second, we u</w:t>
      </w:r>
      <w:r>
        <w:rPr>
          <w:rFonts w:cstheme="minorHAnsi"/>
        </w:rPr>
        <w:t xml:space="preserve">sed </w:t>
      </w:r>
      <w:r w:rsidRPr="004223A3">
        <w:rPr>
          <w:rFonts w:cstheme="minorHAnsi"/>
        </w:rPr>
        <w:t>structural equat</w:t>
      </w:r>
      <w:r>
        <w:rPr>
          <w:rFonts w:cstheme="minorHAnsi"/>
        </w:rPr>
        <w:t>ion modelling (SEM)</w:t>
      </w:r>
      <w:r w:rsidRPr="00E94449">
        <w:rPr>
          <w:rFonts w:cstheme="minorHAnsi"/>
        </w:rPr>
        <w:t xml:space="preserve"> </w:t>
      </w:r>
      <w:r>
        <w:rPr>
          <w:rFonts w:cstheme="minorHAnsi"/>
        </w:rPr>
        <w:fldChar w:fldCharType="begin"/>
      </w:r>
      <w:r>
        <w:rPr>
          <w:rFonts w:cstheme="minorHAnsi"/>
        </w:rPr>
        <w:instrText xml:space="preserve"> ADDIN EN.CITE &lt;EndNote&gt;&lt;Cite&gt;&lt;Author&gt;Grace&lt;/Author&gt;&lt;Year&gt;2012&lt;/Year&gt;&lt;RecNum&gt;3666&lt;/RecNum&gt;&lt;DisplayText&gt;(Grace et al. 2012)&lt;/DisplayText&gt;&lt;record&gt;&lt;rec-number&gt;3666&lt;/rec-number&gt;&lt;foreign-keys&gt;&lt;key app="EN" db-id="ewvpte2f1xspaeevdf1vzrff9rrxzadw0vae" timestamp="1580979398"&gt;3666&lt;/key&gt;&lt;/foreign-keys&gt;&lt;ref-type name="Journal Article"&gt;17&lt;/ref-type&gt;&lt;contributors&gt;&lt;authors&gt;&lt;author&gt;Grace, J. B.&lt;/author&gt;&lt;author&gt;Schoolmaster, D. R.&lt;/author&gt;&lt;author&gt;Guntenspergen, G. R.&lt;/author&gt;&lt;author&gt;Little, A. M.&lt;/author&gt;&lt;author&gt;Mitchell, B. R.&lt;/author&gt;&lt;author&gt;Miller, K. M.&lt;/author&gt;&lt;author&gt;Schweiger, E. W.&lt;/author&gt;&lt;/authors&gt;&lt;/contributors&gt;&lt;titles&gt;&lt;title&gt;Guidelines for a graph-theoretic implementation of structural equation modeling&lt;/title&gt;&lt;secondary-title&gt;Ecosphere&lt;/secondary-title&gt;&lt;/titles&gt;&lt;periodical&gt;&lt;full-title&gt;Ecosphere&lt;/full-title&gt;&lt;/periodical&gt;&lt;volume&gt;3&lt;/volume&gt;&lt;number&gt;8&lt;/number&gt;&lt;dates&gt;&lt;year&gt;2012&lt;/year&gt;&lt;pub-dates&gt;&lt;date&gt;Aug&lt;/date&gt;&lt;/pub-dates&gt;&lt;/dates&gt;&lt;isbn&gt;2150-8925&lt;/isbn&gt;&lt;accession-num&gt;WOS:000327303000004&lt;/accession-num&gt;&lt;urls&gt;&lt;related-urls&gt;&lt;url&gt;&amp;lt;Go to ISI&amp;gt;://WOS:000327303000004&lt;/url&gt;&lt;/related-urls&gt;&lt;/urls&gt;&lt;custom7&gt;Unsp 73&lt;/custom7&gt;&lt;electronic-resource-num&gt;10.1890/es12-00048.1&lt;/electronic-resource-num&gt;&lt;/record&gt;&lt;/Cite&gt;&lt;/EndNote&gt;</w:instrText>
      </w:r>
      <w:r>
        <w:rPr>
          <w:rFonts w:cstheme="minorHAnsi"/>
        </w:rPr>
        <w:fldChar w:fldCharType="separate"/>
      </w:r>
      <w:r>
        <w:rPr>
          <w:rFonts w:cstheme="minorHAnsi"/>
          <w:noProof/>
        </w:rPr>
        <w:t>(Grace et al. 2012)</w:t>
      </w:r>
      <w:r>
        <w:rPr>
          <w:rFonts w:cstheme="minorHAnsi"/>
        </w:rPr>
        <w:fldChar w:fldCharType="end"/>
      </w:r>
      <w:r w:rsidR="00905C46">
        <w:rPr>
          <w:rFonts w:cstheme="minorHAnsi"/>
        </w:rPr>
        <w:t xml:space="preserve"> with linear models</w:t>
      </w:r>
      <w:r>
        <w:rPr>
          <w:rFonts w:cstheme="minorHAnsi"/>
        </w:rPr>
        <w:t>, to</w:t>
      </w:r>
      <w:r w:rsidRPr="004223A3">
        <w:rPr>
          <w:rFonts w:cstheme="minorHAnsi"/>
        </w:rPr>
        <w:t xml:space="preserve"> </w:t>
      </w:r>
      <w:r>
        <w:rPr>
          <w:rFonts w:cstheme="minorHAnsi"/>
        </w:rPr>
        <w:t xml:space="preserve">evaluate multiple hypothesis related to </w:t>
      </w:r>
      <w:r w:rsidRPr="004223A3">
        <w:rPr>
          <w:rFonts w:cstheme="minorHAnsi"/>
        </w:rPr>
        <w:t xml:space="preserve">key predictions from </w:t>
      </w:r>
      <w:r>
        <w:rPr>
          <w:rFonts w:cstheme="minorHAnsi"/>
        </w:rPr>
        <w:t>theories (Table S1)</w:t>
      </w:r>
      <w:r w:rsidRPr="004223A3">
        <w:rPr>
          <w:rFonts w:cstheme="minorHAnsi"/>
        </w:rPr>
        <w:t xml:space="preserve">. </w:t>
      </w:r>
      <w:r>
        <w:rPr>
          <w:rFonts w:cstheme="minorHAnsi"/>
        </w:rPr>
        <w:t>SEM model shown in Fig. 1</w:t>
      </w:r>
      <w:r w:rsidR="00B63726">
        <w:rPr>
          <w:rFonts w:cstheme="minorHAnsi"/>
        </w:rPr>
        <w:t>e</w:t>
      </w:r>
      <w:r>
        <w:rPr>
          <w:rFonts w:cstheme="minorHAnsi"/>
        </w:rPr>
        <w:t xml:space="preserve"> was evaluated separately for each period of experimental duration and each treatment </w:t>
      </w:r>
      <w:r w:rsidRPr="00B55147">
        <w:rPr>
          <w:rFonts w:cstheme="minorHAnsi"/>
        </w:rPr>
        <w:t xml:space="preserve">(Fig. </w:t>
      </w:r>
      <w:r>
        <w:rPr>
          <w:rFonts w:cstheme="minorHAnsi"/>
        </w:rPr>
        <w:t>S2</w:t>
      </w:r>
      <w:r w:rsidRPr="00B55147">
        <w:rPr>
          <w:rFonts w:cstheme="minorHAnsi"/>
        </w:rPr>
        <w:t>)</w:t>
      </w:r>
      <w:r>
        <w:rPr>
          <w:rFonts w:cstheme="minorHAnsi"/>
        </w:rPr>
        <w:t xml:space="preserve"> and a m</w:t>
      </w:r>
      <w:r w:rsidRPr="00B55147">
        <w:rPr>
          <w:rFonts w:cstheme="minorHAnsi"/>
        </w:rPr>
        <w:t xml:space="preserve">eta-analysis (Table </w:t>
      </w:r>
      <w:r>
        <w:rPr>
          <w:rFonts w:cstheme="minorHAnsi"/>
        </w:rPr>
        <w:t>1</w:t>
      </w:r>
      <w:r w:rsidRPr="00B55147">
        <w:rPr>
          <w:rFonts w:cstheme="minorHAnsi"/>
        </w:rPr>
        <w:t xml:space="preserve">) </w:t>
      </w:r>
      <w:r>
        <w:rPr>
          <w:rFonts w:cstheme="minorHAnsi"/>
        </w:rPr>
        <w:t>was performed to</w:t>
      </w:r>
      <w:r w:rsidRPr="00B55147">
        <w:rPr>
          <w:rFonts w:cstheme="minorHAnsi"/>
        </w:rPr>
        <w:t xml:space="preserve"> estimat</w:t>
      </w:r>
      <w:r>
        <w:rPr>
          <w:rFonts w:cstheme="minorHAnsi"/>
        </w:rPr>
        <w:t>e</w:t>
      </w:r>
      <w:r w:rsidRPr="00B55147">
        <w:rPr>
          <w:rFonts w:cstheme="minorHAnsi"/>
        </w:rPr>
        <w:t xml:space="preserve"> effect</w:t>
      </w:r>
      <w:r>
        <w:rPr>
          <w:rFonts w:cstheme="minorHAnsi"/>
        </w:rPr>
        <w:t xml:space="preserve"> </w:t>
      </w:r>
      <w:r w:rsidRPr="00B55147">
        <w:rPr>
          <w:rFonts w:cstheme="minorHAnsi"/>
        </w:rPr>
        <w:t xml:space="preserve">sizes for </w:t>
      </w:r>
      <w:r>
        <w:rPr>
          <w:rFonts w:cstheme="minorHAnsi"/>
        </w:rPr>
        <w:t>SEM’s</w:t>
      </w:r>
      <w:r w:rsidRPr="00B55147">
        <w:rPr>
          <w:rFonts w:cstheme="minorHAnsi"/>
        </w:rPr>
        <w:t xml:space="preserve"> paths across </w:t>
      </w:r>
      <w:r>
        <w:rPr>
          <w:rFonts w:cstheme="minorHAnsi"/>
        </w:rPr>
        <w:t xml:space="preserve">time for each treatment </w:t>
      </w:r>
      <w:r w:rsidRPr="00B55147">
        <w:rPr>
          <w:rFonts w:cstheme="minorHAnsi"/>
        </w:rPr>
        <w:t xml:space="preserve">(Fig. </w:t>
      </w:r>
      <w:r>
        <w:rPr>
          <w:rFonts w:cstheme="minorHAnsi"/>
        </w:rPr>
        <w:t>3</w:t>
      </w:r>
      <w:r w:rsidRPr="00B55147">
        <w:rPr>
          <w:rFonts w:cstheme="minorHAnsi"/>
        </w:rPr>
        <w:t>).</w:t>
      </w:r>
      <w:r>
        <w:rPr>
          <w:rFonts w:cstheme="minorHAnsi"/>
        </w:rPr>
        <w:t xml:space="preserve"> </w:t>
      </w:r>
      <w:r w:rsidR="00CC2A32">
        <w:t xml:space="preserve">We run similar models based on </w:t>
      </w:r>
      <w:r w:rsidR="00CC2A32">
        <w:rPr>
          <w:rFonts w:cstheme="minorHAnsi"/>
        </w:rPr>
        <w:t xml:space="preserve">nutrient-induced </w:t>
      </w:r>
      <w:r w:rsidR="00CC2A32">
        <w:rPr>
          <w:rFonts w:cstheme="minorHAnsi"/>
        </w:rPr>
        <w:t xml:space="preserve">changes in </w:t>
      </w:r>
      <w:r w:rsidR="00CC2A32" w:rsidRPr="0072279F">
        <w:rPr>
          <w:rFonts w:cstheme="minorHAnsi"/>
        </w:rPr>
        <w:t>diversity</w:t>
      </w:r>
      <w:r w:rsidR="00CC2A32">
        <w:rPr>
          <w:rFonts w:cstheme="minorHAnsi"/>
        </w:rPr>
        <w:t>, stability and asynchrony</w:t>
      </w:r>
      <w:r w:rsidR="00CC2A32">
        <w:rPr>
          <w:rFonts w:cstheme="minorHAnsi"/>
        </w:rPr>
        <w:t>.</w:t>
      </w:r>
      <w:r w:rsidR="00CC2A32" w:rsidRPr="0072279F">
        <w:rPr>
          <w:rFonts w:cstheme="minorHAnsi"/>
        </w:rPr>
        <w:t xml:space="preserve"> </w:t>
      </w:r>
      <w:r w:rsidR="0072279F" w:rsidRPr="0072279F">
        <w:rPr>
          <w:rFonts w:cstheme="minorHAnsi"/>
        </w:rPr>
        <w:t>Changes in diversity</w:t>
      </w:r>
      <w:r w:rsidR="0072279F">
        <w:rPr>
          <w:rFonts w:cstheme="minorHAnsi"/>
        </w:rPr>
        <w:t xml:space="preserve">, stability and asynchrony at the two scales considered were </w:t>
      </w:r>
      <w:r w:rsidR="0072279F" w:rsidRPr="0072279F">
        <w:rPr>
          <w:rFonts w:cstheme="minorHAnsi"/>
        </w:rPr>
        <w:t xml:space="preserve">calculated as the </w:t>
      </w:r>
      <w:r w:rsidR="0072279F">
        <w:rPr>
          <w:rFonts w:cstheme="minorHAnsi"/>
        </w:rPr>
        <w:t xml:space="preserve">natural logarithm of </w:t>
      </w:r>
      <w:r w:rsidR="0072279F" w:rsidRPr="0072279F">
        <w:rPr>
          <w:rFonts w:cstheme="minorHAnsi"/>
        </w:rPr>
        <w:t>the ratio between t</w:t>
      </w:r>
      <w:r w:rsidR="0072279F">
        <w:rPr>
          <w:rFonts w:cstheme="minorHAnsi"/>
        </w:rPr>
        <w:t xml:space="preserve">he variable in the fertilized and unmanipulated </w:t>
      </w:r>
      <w:r w:rsidR="0072279F" w:rsidRPr="0072279F">
        <w:rPr>
          <w:rFonts w:cstheme="minorHAnsi"/>
        </w:rPr>
        <w:t xml:space="preserve">plots. </w:t>
      </w:r>
      <w:bookmarkStart w:id="4" w:name="_GoBack"/>
      <w:r w:rsidR="00CC2A32">
        <w:rPr>
          <w:rFonts w:cstheme="minorHAnsi"/>
        </w:rPr>
        <w:t xml:space="preserve">For the meta-analysis, we used </w:t>
      </w:r>
      <w:r w:rsidR="00CC2A32">
        <w:t xml:space="preserve">a first-order autoregressive model to account for autocorrelation over </w:t>
      </w:r>
      <w:commentRangeStart w:id="5"/>
      <w:r w:rsidR="00CC2A32">
        <w:t>time</w:t>
      </w:r>
      <w:commentRangeEnd w:id="5"/>
      <w:r w:rsidR="00CC2A32">
        <w:rPr>
          <w:rStyle w:val="CommentReference"/>
        </w:rPr>
        <w:commentReference w:id="5"/>
      </w:r>
      <w:r w:rsidR="00CC2A32">
        <w:t xml:space="preserve"> (). </w:t>
      </w:r>
      <w:bookmarkEnd w:id="4"/>
      <w:r>
        <w:t>We used the R function</w:t>
      </w:r>
      <w:r w:rsidR="00E24072">
        <w:t>s</w:t>
      </w:r>
      <w:r>
        <w:t xml:space="preserve"> ‘psem’ to fit </w:t>
      </w:r>
      <w:r w:rsidR="00E24072">
        <w:t xml:space="preserve">separate </w:t>
      </w:r>
      <w:r>
        <w:t xml:space="preserve">piecewise </w:t>
      </w:r>
      <w:commentRangeStart w:id="6"/>
      <w:r>
        <w:t>SEM</w:t>
      </w:r>
      <w:commentRangeEnd w:id="6"/>
      <w:r w:rsidR="00E24072">
        <w:rPr>
          <w:rStyle w:val="CommentReference"/>
        </w:rPr>
        <w:commentReference w:id="6"/>
      </w:r>
      <w:r>
        <w:t xml:space="preserve"> </w:t>
      </w:r>
      <w:r w:rsidR="00E24072">
        <w:t xml:space="preserve">() </w:t>
      </w:r>
      <w:r>
        <w:t xml:space="preserve">and </w:t>
      </w:r>
      <w:r w:rsidR="00E24072">
        <w:t xml:space="preserve">‘rma.rv’ </w:t>
      </w:r>
      <w:r w:rsidR="002F4431">
        <w:t>with</w:t>
      </w:r>
      <w:r w:rsidR="00010C84">
        <w:t xml:space="preserve"> time random effect and</w:t>
      </w:r>
      <w:r w:rsidR="002F4431">
        <w:t xml:space="preserve"> </w:t>
      </w:r>
      <w:r w:rsidR="008D7F54">
        <w:t>‘</w:t>
      </w:r>
      <w:r w:rsidR="002F4431">
        <w:t>A</w:t>
      </w:r>
      <w:r w:rsidR="008D7F54">
        <w:t>R’</w:t>
      </w:r>
      <w:r w:rsidR="002F4431">
        <w:t xml:space="preserve"> structure </w:t>
      </w:r>
      <w:r w:rsidR="00E24072">
        <w:t xml:space="preserve">to perform the meta-analysis </w:t>
      </w:r>
      <w:commentRangeStart w:id="7"/>
      <w:r w:rsidR="00E24072">
        <w:t>().</w:t>
      </w:r>
      <w:commentRangeEnd w:id="7"/>
      <w:r w:rsidR="00E24072">
        <w:rPr>
          <w:rStyle w:val="CommentReference"/>
        </w:rPr>
        <w:commentReference w:id="7"/>
      </w:r>
    </w:p>
    <w:sectPr w:rsidR="00D52465" w:rsidRPr="0072279F" w:rsidSect="00642B41">
      <w:footerReference w:type="default" r:id="rId8"/>
      <w:pgSz w:w="11906" w:h="16838"/>
      <w:pgMar w:top="1440" w:right="1440" w:bottom="1440" w:left="1440" w:header="708" w:footer="708" w:gutter="0"/>
      <w:lnNumType w:countBy="1"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Yann Hautier" w:date="2020-03-13T11:19:00Z" w:initials="YH">
    <w:p w14:paraId="5CB6C912" w14:textId="1AEAA4D1" w:rsidR="00312E41" w:rsidRPr="00312E41" w:rsidRDefault="00312E41" w:rsidP="00312E41">
      <w:pPr>
        <w:pStyle w:val="CommentText"/>
      </w:pPr>
      <w:r>
        <w:rPr>
          <w:rStyle w:val="CommentReference"/>
        </w:rPr>
        <w:annotationRef/>
      </w:r>
      <w:r>
        <w:t>Jari Oksanen, F. Guillaume Blanchet, Michael Friendly, Roeland Kindt,  Pierre Legendre, Dan McGlinn, Peter R. Minchin, R. B. O'Hara, Gavin  L. Simpson, Peter Solymos, M. Henry H. Stevens, Eduard Szoecs and  Helene Wagner (2019). vegan: Community Ecology Package. R package</w:t>
      </w:r>
      <w:r w:rsidRPr="00312E41">
        <w:t xml:space="preserve">  version 2.5-5. </w:t>
      </w:r>
      <w:hyperlink r:id="rId1" w:history="1">
        <w:r w:rsidRPr="00312E41">
          <w:rPr>
            <w:rStyle w:val="Hyperlink"/>
          </w:rPr>
          <w:t>https://CRAN.R</w:t>
        </w:r>
      </w:hyperlink>
      <w:r w:rsidRPr="00312E41">
        <w:t xml:space="preserve"> project.org/package=vegan</w:t>
      </w:r>
    </w:p>
  </w:comment>
  <w:comment w:id="1" w:author="Yann Hautier" w:date="2020-02-12T12:52:00Z" w:initials="YH">
    <w:p w14:paraId="7ED1115E" w14:textId="28C7DFEB" w:rsidR="000A79FA" w:rsidRDefault="000A79FA" w:rsidP="000A79FA">
      <w:pPr>
        <w:pStyle w:val="CommentText"/>
      </w:pPr>
      <w:r>
        <w:t xml:space="preserve">@ </w:t>
      </w:r>
      <w:r>
        <w:rPr>
          <w:rStyle w:val="CommentReference"/>
        </w:rPr>
        <w:annotationRef/>
      </w:r>
      <w:r>
        <w:t xml:space="preserve">Shaopeng. Do we need to add more description here? </w:t>
      </w:r>
      <w:r w:rsidR="00FE4F7D">
        <w:t xml:space="preserve">Formulas, other. </w:t>
      </w:r>
      <w:r>
        <w:t>Could you help please?</w:t>
      </w:r>
    </w:p>
  </w:comment>
  <w:comment w:id="2" w:author="Yann Hautier" w:date="2020-02-12T12:56:00Z" w:initials="YH">
    <w:p w14:paraId="1E063269" w14:textId="52AB870B" w:rsidR="003613F7" w:rsidRPr="00EB4499" w:rsidRDefault="000A79FA" w:rsidP="003613F7">
      <w:pPr>
        <w:autoSpaceDE w:val="0"/>
        <w:autoSpaceDN w:val="0"/>
        <w:adjustRightInd w:val="0"/>
        <w:spacing w:after="0" w:line="240" w:lineRule="auto"/>
        <w:rPr>
          <w:rFonts w:ascii="MinionPro-Regular" w:hAnsi="MinionPro-Regular" w:cs="MinionPro-Regular"/>
          <w:sz w:val="15"/>
          <w:szCs w:val="15"/>
        </w:rPr>
      </w:pPr>
      <w:r>
        <w:rPr>
          <w:rStyle w:val="CommentReference"/>
        </w:rPr>
        <w:annotationRef/>
      </w:r>
      <w:r w:rsidR="003613F7">
        <w:rPr>
          <w:rFonts w:ascii="MinionPro-Regular" w:hAnsi="MinionPro-Regular" w:cs="MinionPro-Regular"/>
          <w:sz w:val="15"/>
          <w:szCs w:val="15"/>
        </w:rPr>
        <w:t>Hijmans, R. J., Cameron, S. E., Parra, J. L., Jones, P. G. &amp; Jarvis, A. Very high</w:t>
      </w:r>
      <w:r w:rsidR="00EB4499">
        <w:rPr>
          <w:rFonts w:ascii="MinionPro-Regular" w:hAnsi="MinionPro-Regular" w:cs="MinionPro-Regular"/>
          <w:sz w:val="15"/>
          <w:szCs w:val="15"/>
        </w:rPr>
        <w:t xml:space="preserve"> </w:t>
      </w:r>
      <w:r w:rsidR="003613F7">
        <w:rPr>
          <w:rFonts w:ascii="MinionPro-Regular" w:hAnsi="MinionPro-Regular" w:cs="MinionPro-Regular"/>
          <w:sz w:val="15"/>
          <w:szCs w:val="15"/>
        </w:rPr>
        <w:t xml:space="preserve">resolution interpolated climate surfaces for global land areas. </w:t>
      </w:r>
      <w:r w:rsidR="003613F7">
        <w:rPr>
          <w:rFonts w:ascii="MinionPro-It" w:hAnsi="MinionPro-It" w:cs="MinionPro-It"/>
          <w:i/>
          <w:iCs/>
          <w:sz w:val="15"/>
          <w:szCs w:val="15"/>
        </w:rPr>
        <w:t>Int. J. Climatol.</w:t>
      </w:r>
    </w:p>
    <w:p w14:paraId="7E778DC5" w14:textId="6EC8ABAD" w:rsidR="000A79FA" w:rsidRDefault="003613F7" w:rsidP="003613F7">
      <w:pPr>
        <w:pStyle w:val="CommentText"/>
      </w:pPr>
      <w:r>
        <w:rPr>
          <w:rFonts w:ascii="MinionPro-Bold" w:hAnsi="MinionPro-Bold" w:cs="MinionPro-Bold"/>
          <w:b/>
          <w:bCs/>
          <w:sz w:val="15"/>
          <w:szCs w:val="15"/>
        </w:rPr>
        <w:t>25</w:t>
      </w:r>
      <w:r>
        <w:rPr>
          <w:rFonts w:ascii="MinionPro-Regular" w:hAnsi="MinionPro-Regular" w:cs="MinionPro-Regular"/>
          <w:sz w:val="15"/>
          <w:szCs w:val="15"/>
        </w:rPr>
        <w:t>, 1965–1978 (2005).</w:t>
      </w:r>
    </w:p>
  </w:comment>
  <w:comment w:id="3" w:author="Yann Hautier" w:date="2020-03-13T13:05:00Z" w:initials="YH">
    <w:p w14:paraId="57E2CF8C" w14:textId="57F315C8" w:rsidR="00F63C05" w:rsidRDefault="00F63C05">
      <w:pPr>
        <w:pStyle w:val="CommentText"/>
      </w:pPr>
      <w:r>
        <w:rPr>
          <w:rStyle w:val="CommentReference"/>
        </w:rPr>
        <w:annotationRef/>
      </w:r>
      <w:r>
        <w:rPr>
          <w:rFonts w:ascii="NewsGothicMTStd" w:hAnsi="NewsGothicMTStd" w:cs="NewsGothicMTStd"/>
          <w:sz w:val="14"/>
          <w:szCs w:val="14"/>
        </w:rPr>
        <w:t xml:space="preserve">Pinheiro, J. &amp; Bates, D. </w:t>
      </w:r>
      <w:r>
        <w:rPr>
          <w:rFonts w:ascii="NewsGothicMTStd-Italic" w:hAnsi="NewsGothicMTStd-Italic" w:cs="NewsGothicMTStd-Italic"/>
          <w:i/>
          <w:iCs/>
          <w:sz w:val="14"/>
          <w:szCs w:val="14"/>
        </w:rPr>
        <w:t xml:space="preserve">Mixed-effects models in S and S-PLUS </w:t>
      </w:r>
      <w:r>
        <w:rPr>
          <w:rFonts w:ascii="NewsGothicMTStd" w:hAnsi="NewsGothicMTStd" w:cs="NewsGothicMTStd"/>
          <w:sz w:val="14"/>
          <w:szCs w:val="14"/>
        </w:rPr>
        <w:t>(Springer, 2006)</w:t>
      </w:r>
      <w:r>
        <w:rPr>
          <w:rFonts w:ascii="NewsGothicMTStd-Italic" w:hAnsi="NewsGothicMTStd-Italic" w:cs="NewsGothicMTStd-Italic"/>
          <w:i/>
          <w:iCs/>
          <w:sz w:val="14"/>
          <w:szCs w:val="14"/>
        </w:rPr>
        <w:t>.</w:t>
      </w:r>
    </w:p>
  </w:comment>
  <w:comment w:id="5" w:author="Yann Hautier" w:date="2020-03-13T15:01:00Z" w:initials="YH">
    <w:p w14:paraId="725A601F" w14:textId="77777777" w:rsidR="00CC2A32" w:rsidRDefault="00CC2A32" w:rsidP="00CC2A32">
      <w:pPr>
        <w:pStyle w:val="CommentText"/>
      </w:pPr>
      <w:r>
        <w:rPr>
          <w:rStyle w:val="CommentReference"/>
        </w:rPr>
        <w:annotationRef/>
      </w:r>
      <w:r>
        <w:rPr>
          <w:rFonts w:ascii="Arial" w:hAnsi="Arial" w:cs="Arial"/>
          <w:color w:val="3A3A3A"/>
          <w:sz w:val="23"/>
          <w:szCs w:val="23"/>
        </w:rPr>
        <w:t>Trikalinos, T. A., &amp; Olkin, I. (2012). Meta-analysis of effect sizes reported at multiple time points: A multivariate approach. </w:t>
      </w:r>
      <w:r>
        <w:rPr>
          <w:rStyle w:val="Emphasis"/>
          <w:rFonts w:ascii="Arial" w:hAnsi="Arial" w:cs="Arial"/>
          <w:color w:val="3A3A3A"/>
          <w:sz w:val="23"/>
          <w:szCs w:val="23"/>
        </w:rPr>
        <w:t>Clinical Trials</w:t>
      </w:r>
      <w:r>
        <w:rPr>
          <w:rFonts w:ascii="Arial" w:hAnsi="Arial" w:cs="Arial"/>
          <w:color w:val="3A3A3A"/>
          <w:sz w:val="23"/>
          <w:szCs w:val="23"/>
        </w:rPr>
        <w:t>, </w:t>
      </w:r>
      <w:r>
        <w:rPr>
          <w:rFonts w:ascii="Arial" w:hAnsi="Arial" w:cs="Arial"/>
          <w:b/>
          <w:bCs/>
          <w:color w:val="3A3A3A"/>
          <w:sz w:val="23"/>
          <w:szCs w:val="23"/>
        </w:rPr>
        <w:t>9</w:t>
      </w:r>
      <w:r>
        <w:rPr>
          <w:rFonts w:ascii="Arial" w:hAnsi="Arial" w:cs="Arial"/>
          <w:color w:val="3A3A3A"/>
          <w:sz w:val="23"/>
          <w:szCs w:val="23"/>
        </w:rPr>
        <w:t>, 610--620.</w:t>
      </w:r>
    </w:p>
  </w:comment>
  <w:comment w:id="6" w:author="Yann Hautier" w:date="2020-03-13T15:05:00Z" w:initials="YH">
    <w:p w14:paraId="362C8FF3" w14:textId="704151AD" w:rsidR="00E24072" w:rsidRDefault="00E24072">
      <w:pPr>
        <w:pStyle w:val="CommentText"/>
      </w:pPr>
      <w:r>
        <w:rPr>
          <w:rStyle w:val="CommentReference"/>
        </w:rPr>
        <w:annotationRef/>
      </w:r>
      <w:r>
        <w:rPr>
          <w:color w:val="000000"/>
          <w:sz w:val="27"/>
          <w:szCs w:val="27"/>
          <w:shd w:val="clear" w:color="auto" w:fill="FFFFFF"/>
        </w:rPr>
        <w:t>Lefcheck JS (2016). “piecewiseSEM: Piecewise structural equation modeling in R for ecology, evolution, and systematics.” </w:t>
      </w:r>
      <w:r>
        <w:rPr>
          <w:rStyle w:val="Emphasis"/>
          <w:color w:val="000000"/>
          <w:sz w:val="27"/>
          <w:szCs w:val="27"/>
          <w:shd w:val="clear" w:color="auto" w:fill="FFFFFF"/>
        </w:rPr>
        <w:t>Methods in Ecology and Evolution</w:t>
      </w:r>
      <w:r>
        <w:rPr>
          <w:color w:val="000000"/>
          <w:sz w:val="27"/>
          <w:szCs w:val="27"/>
          <w:shd w:val="clear" w:color="auto" w:fill="FFFFFF"/>
        </w:rPr>
        <w:t>, </w:t>
      </w:r>
      <w:r>
        <w:rPr>
          <w:b/>
          <w:bCs/>
          <w:color w:val="000000"/>
          <w:sz w:val="27"/>
          <w:szCs w:val="27"/>
          <w:shd w:val="clear" w:color="auto" w:fill="FFFFFF"/>
        </w:rPr>
        <w:t>7</w:t>
      </w:r>
      <w:r>
        <w:rPr>
          <w:color w:val="000000"/>
          <w:sz w:val="27"/>
          <w:szCs w:val="27"/>
          <w:shd w:val="clear" w:color="auto" w:fill="FFFFFF"/>
        </w:rPr>
        <w:t>(5), 573-579. doi: </w:t>
      </w:r>
      <w:hyperlink r:id="rId2" w:history="1">
        <w:r>
          <w:rPr>
            <w:rStyle w:val="Hyperlink"/>
            <w:sz w:val="27"/>
            <w:szCs w:val="27"/>
            <w:shd w:val="clear" w:color="auto" w:fill="FFFFFF"/>
          </w:rPr>
          <w:t>10.1111/2041-210X.12512</w:t>
        </w:r>
      </w:hyperlink>
      <w:r>
        <w:rPr>
          <w:color w:val="000000"/>
          <w:sz w:val="27"/>
          <w:szCs w:val="27"/>
          <w:shd w:val="clear" w:color="auto" w:fill="FFFFFF"/>
        </w:rPr>
        <w:t>, </w:t>
      </w:r>
      <w:hyperlink r:id="rId3" w:history="1">
        <w:r>
          <w:rPr>
            <w:rStyle w:val="Hyperlink"/>
            <w:sz w:val="27"/>
            <w:szCs w:val="27"/>
            <w:shd w:val="clear" w:color="auto" w:fill="FFFFFF"/>
          </w:rPr>
          <w:t>http://dx.doi.org/10.1111/2041-210X.12512</w:t>
        </w:r>
      </w:hyperlink>
      <w:r>
        <w:rPr>
          <w:color w:val="000000"/>
          <w:sz w:val="27"/>
          <w:szCs w:val="27"/>
          <w:shd w:val="clear" w:color="auto" w:fill="FFFFFF"/>
        </w:rPr>
        <w:t>.</w:t>
      </w:r>
    </w:p>
  </w:comment>
  <w:comment w:id="7" w:author="Yann Hautier" w:date="2020-03-13T15:06:00Z" w:initials="YH">
    <w:p w14:paraId="366586FA" w14:textId="4360927C" w:rsidR="00E24072" w:rsidRDefault="00E24072">
      <w:pPr>
        <w:pStyle w:val="CommentText"/>
      </w:pPr>
      <w:r>
        <w:rPr>
          <w:rStyle w:val="CommentReference"/>
        </w:rPr>
        <w:annotationRef/>
      </w:r>
      <w:r>
        <w:rPr>
          <w:color w:val="000000"/>
          <w:sz w:val="27"/>
          <w:szCs w:val="27"/>
          <w:shd w:val="clear" w:color="auto" w:fill="FFFFFF"/>
        </w:rPr>
        <w:t>Viechtbauer, W. (2010). Conducting meta-analyses in R with the metafor package. Journal of Statistical Software, 36(3), 1-48. URL: </w:t>
      </w:r>
      <w:hyperlink r:id="rId4" w:history="1">
        <w:r>
          <w:rPr>
            <w:rStyle w:val="Hyperlink"/>
            <w:sz w:val="27"/>
            <w:szCs w:val="27"/>
            <w:shd w:val="clear" w:color="auto" w:fill="FFFFFF"/>
          </w:rPr>
          <w:t>http://www.jstatsoft.org/v36/i03/</w:t>
        </w:r>
      </w:hyperlink>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B6C912" w15:done="0"/>
  <w15:commentEx w15:paraId="7ED1115E" w15:done="0"/>
  <w15:commentEx w15:paraId="7E778DC5" w15:done="0"/>
  <w15:commentEx w15:paraId="57E2CF8C" w15:done="0"/>
  <w15:commentEx w15:paraId="725A601F" w15:done="0"/>
  <w15:commentEx w15:paraId="362C8FF3" w15:done="0"/>
  <w15:commentEx w15:paraId="366586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6C845" w14:textId="77777777" w:rsidR="00B41E9E" w:rsidRDefault="00B41E9E">
      <w:pPr>
        <w:spacing w:after="0" w:line="240" w:lineRule="auto"/>
      </w:pPr>
      <w:r>
        <w:separator/>
      </w:r>
    </w:p>
  </w:endnote>
  <w:endnote w:type="continuationSeparator" w:id="0">
    <w:p w14:paraId="283BC022" w14:textId="77777777" w:rsidR="00B41E9E" w:rsidRDefault="00B41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 w:name="MinionPro-Bold">
    <w:panose1 w:val="00000000000000000000"/>
    <w:charset w:val="00"/>
    <w:family w:val="roman"/>
    <w:notTrueType/>
    <w:pitch w:val="default"/>
    <w:sig w:usb0="00000003" w:usb1="00000000" w:usb2="00000000" w:usb3="00000000" w:csb0="00000001" w:csb1="00000000"/>
  </w:font>
  <w:font w:name="NewsGothicMTStd">
    <w:panose1 w:val="00000000000000000000"/>
    <w:charset w:val="00"/>
    <w:family w:val="swiss"/>
    <w:notTrueType/>
    <w:pitch w:val="default"/>
    <w:sig w:usb0="00000003" w:usb1="00000000" w:usb2="00000000" w:usb3="00000000" w:csb0="00000001" w:csb1="00000000"/>
  </w:font>
  <w:font w:name="NewsGothicMTSt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987097"/>
      <w:docPartObj>
        <w:docPartGallery w:val="Page Numbers (Bottom of Page)"/>
        <w:docPartUnique/>
      </w:docPartObj>
    </w:sdtPr>
    <w:sdtEndPr>
      <w:rPr>
        <w:noProof/>
      </w:rPr>
    </w:sdtEndPr>
    <w:sdtContent>
      <w:p w14:paraId="0A955B57" w14:textId="77777777" w:rsidR="00642B41" w:rsidRDefault="003A388E">
        <w:pPr>
          <w:pStyle w:val="Footer"/>
          <w:jc w:val="center"/>
        </w:pPr>
        <w:r>
          <w:fldChar w:fldCharType="begin"/>
        </w:r>
        <w:r>
          <w:instrText xml:space="preserve"> PAGE   \* MERGEFORMAT </w:instrText>
        </w:r>
        <w:r>
          <w:fldChar w:fldCharType="separate"/>
        </w:r>
        <w:r w:rsidR="00CC2A32">
          <w:rPr>
            <w:noProof/>
          </w:rPr>
          <w:t>2</w:t>
        </w:r>
        <w:r>
          <w:rPr>
            <w:noProof/>
          </w:rPr>
          <w:fldChar w:fldCharType="end"/>
        </w:r>
      </w:p>
    </w:sdtContent>
  </w:sdt>
  <w:p w14:paraId="1EDDD4DA" w14:textId="77777777" w:rsidR="00642B41" w:rsidRDefault="00642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FA641" w14:textId="77777777" w:rsidR="00B41E9E" w:rsidRDefault="00B41E9E">
      <w:pPr>
        <w:spacing w:after="0" w:line="240" w:lineRule="auto"/>
      </w:pPr>
      <w:r>
        <w:separator/>
      </w:r>
    </w:p>
  </w:footnote>
  <w:footnote w:type="continuationSeparator" w:id="0">
    <w:p w14:paraId="5D056E1F" w14:textId="77777777" w:rsidR="00B41E9E" w:rsidRDefault="00B41E9E">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n Hautier">
    <w15:presenceInfo w15:providerId="Windows Live" w15:userId="d68e30d75b57fe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4"/>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12"/>
    <w:rsid w:val="00010C84"/>
    <w:rsid w:val="000143D1"/>
    <w:rsid w:val="00015840"/>
    <w:rsid w:val="0002796D"/>
    <w:rsid w:val="00033098"/>
    <w:rsid w:val="000410ED"/>
    <w:rsid w:val="0009165A"/>
    <w:rsid w:val="000A5346"/>
    <w:rsid w:val="000A79FA"/>
    <w:rsid w:val="000B2919"/>
    <w:rsid w:val="000B39E7"/>
    <w:rsid w:val="000B464D"/>
    <w:rsid w:val="000B6995"/>
    <w:rsid w:val="000C19EE"/>
    <w:rsid w:val="000D7518"/>
    <w:rsid w:val="000E0C2D"/>
    <w:rsid w:val="000E3492"/>
    <w:rsid w:val="000F122A"/>
    <w:rsid w:val="001078A4"/>
    <w:rsid w:val="00134A9A"/>
    <w:rsid w:val="00136D78"/>
    <w:rsid w:val="00171264"/>
    <w:rsid w:val="00174DED"/>
    <w:rsid w:val="00193602"/>
    <w:rsid w:val="00195E05"/>
    <w:rsid w:val="001A22BC"/>
    <w:rsid w:val="001A2C68"/>
    <w:rsid w:val="001A6489"/>
    <w:rsid w:val="001B4E0E"/>
    <w:rsid w:val="001C0767"/>
    <w:rsid w:val="001C252E"/>
    <w:rsid w:val="001C4444"/>
    <w:rsid w:val="001F2134"/>
    <w:rsid w:val="001F7D6B"/>
    <w:rsid w:val="00202FE3"/>
    <w:rsid w:val="00213479"/>
    <w:rsid w:val="0022226B"/>
    <w:rsid w:val="00223B78"/>
    <w:rsid w:val="0023248A"/>
    <w:rsid w:val="0024194B"/>
    <w:rsid w:val="00252C8F"/>
    <w:rsid w:val="002566CD"/>
    <w:rsid w:val="00281FEE"/>
    <w:rsid w:val="00285C41"/>
    <w:rsid w:val="00286B18"/>
    <w:rsid w:val="002879B9"/>
    <w:rsid w:val="00291089"/>
    <w:rsid w:val="00291A9D"/>
    <w:rsid w:val="002934F6"/>
    <w:rsid w:val="00295FEB"/>
    <w:rsid w:val="002A38E3"/>
    <w:rsid w:val="002A5C64"/>
    <w:rsid w:val="002B30A4"/>
    <w:rsid w:val="002C506B"/>
    <w:rsid w:val="002D2BF1"/>
    <w:rsid w:val="002F4431"/>
    <w:rsid w:val="00305F5B"/>
    <w:rsid w:val="00312E41"/>
    <w:rsid w:val="00322D11"/>
    <w:rsid w:val="00337F94"/>
    <w:rsid w:val="00352114"/>
    <w:rsid w:val="0035617B"/>
    <w:rsid w:val="003613F7"/>
    <w:rsid w:val="00365483"/>
    <w:rsid w:val="00365CB9"/>
    <w:rsid w:val="00377BDB"/>
    <w:rsid w:val="003861B0"/>
    <w:rsid w:val="0038760E"/>
    <w:rsid w:val="0039261D"/>
    <w:rsid w:val="003A388E"/>
    <w:rsid w:val="003A3B4B"/>
    <w:rsid w:val="003A78B3"/>
    <w:rsid w:val="003B62F8"/>
    <w:rsid w:val="003D2270"/>
    <w:rsid w:val="003D6241"/>
    <w:rsid w:val="003F4142"/>
    <w:rsid w:val="003F506F"/>
    <w:rsid w:val="004041FC"/>
    <w:rsid w:val="0040642C"/>
    <w:rsid w:val="00413BE6"/>
    <w:rsid w:val="0041527C"/>
    <w:rsid w:val="0042554F"/>
    <w:rsid w:val="00427C68"/>
    <w:rsid w:val="004422BA"/>
    <w:rsid w:val="00463697"/>
    <w:rsid w:val="00476656"/>
    <w:rsid w:val="00490615"/>
    <w:rsid w:val="004A48AD"/>
    <w:rsid w:val="004D03B4"/>
    <w:rsid w:val="004D0493"/>
    <w:rsid w:val="004E4565"/>
    <w:rsid w:val="004F33F2"/>
    <w:rsid w:val="00501B01"/>
    <w:rsid w:val="005068AB"/>
    <w:rsid w:val="005069A3"/>
    <w:rsid w:val="00506D53"/>
    <w:rsid w:val="00542940"/>
    <w:rsid w:val="005461DC"/>
    <w:rsid w:val="00547F58"/>
    <w:rsid w:val="0055253A"/>
    <w:rsid w:val="00560039"/>
    <w:rsid w:val="0056234E"/>
    <w:rsid w:val="00563A38"/>
    <w:rsid w:val="005652B1"/>
    <w:rsid w:val="005669CE"/>
    <w:rsid w:val="0058725A"/>
    <w:rsid w:val="00591A66"/>
    <w:rsid w:val="00595647"/>
    <w:rsid w:val="005A1F3A"/>
    <w:rsid w:val="005A3395"/>
    <w:rsid w:val="005B4CC4"/>
    <w:rsid w:val="005C02B2"/>
    <w:rsid w:val="005C7DAB"/>
    <w:rsid w:val="005D2E5D"/>
    <w:rsid w:val="005D3C84"/>
    <w:rsid w:val="005F5FF0"/>
    <w:rsid w:val="00604865"/>
    <w:rsid w:val="00621A16"/>
    <w:rsid w:val="0062384F"/>
    <w:rsid w:val="00636E6D"/>
    <w:rsid w:val="00640D58"/>
    <w:rsid w:val="00642065"/>
    <w:rsid w:val="00642B41"/>
    <w:rsid w:val="00654356"/>
    <w:rsid w:val="006627D4"/>
    <w:rsid w:val="00675E24"/>
    <w:rsid w:val="006769CA"/>
    <w:rsid w:val="0068784D"/>
    <w:rsid w:val="006A5112"/>
    <w:rsid w:val="006B1E04"/>
    <w:rsid w:val="006C6534"/>
    <w:rsid w:val="006C75E9"/>
    <w:rsid w:val="006D24AF"/>
    <w:rsid w:val="006E21F5"/>
    <w:rsid w:val="006F1754"/>
    <w:rsid w:val="006F508E"/>
    <w:rsid w:val="0071452B"/>
    <w:rsid w:val="007147C3"/>
    <w:rsid w:val="0071625C"/>
    <w:rsid w:val="00721FE9"/>
    <w:rsid w:val="0072279F"/>
    <w:rsid w:val="00722DA6"/>
    <w:rsid w:val="007317D9"/>
    <w:rsid w:val="007656A4"/>
    <w:rsid w:val="00792326"/>
    <w:rsid w:val="00794D4D"/>
    <w:rsid w:val="007951A3"/>
    <w:rsid w:val="00797790"/>
    <w:rsid w:val="007B16A9"/>
    <w:rsid w:val="007B67B5"/>
    <w:rsid w:val="007C3CA7"/>
    <w:rsid w:val="007C3CC6"/>
    <w:rsid w:val="007D78F7"/>
    <w:rsid w:val="007E14A0"/>
    <w:rsid w:val="007E5344"/>
    <w:rsid w:val="007E701F"/>
    <w:rsid w:val="007F346D"/>
    <w:rsid w:val="008008E4"/>
    <w:rsid w:val="008063BB"/>
    <w:rsid w:val="00810437"/>
    <w:rsid w:val="00817CB5"/>
    <w:rsid w:val="0082075A"/>
    <w:rsid w:val="0083286F"/>
    <w:rsid w:val="008336FE"/>
    <w:rsid w:val="00840B15"/>
    <w:rsid w:val="008419D6"/>
    <w:rsid w:val="008421A5"/>
    <w:rsid w:val="0085345E"/>
    <w:rsid w:val="00861A11"/>
    <w:rsid w:val="008838B2"/>
    <w:rsid w:val="008D7F54"/>
    <w:rsid w:val="008E5B20"/>
    <w:rsid w:val="00905C46"/>
    <w:rsid w:val="009230AE"/>
    <w:rsid w:val="009241CF"/>
    <w:rsid w:val="00936C0C"/>
    <w:rsid w:val="00944465"/>
    <w:rsid w:val="009479E3"/>
    <w:rsid w:val="009715E5"/>
    <w:rsid w:val="00981E91"/>
    <w:rsid w:val="009822D7"/>
    <w:rsid w:val="009E0469"/>
    <w:rsid w:val="009E14B2"/>
    <w:rsid w:val="009F26E0"/>
    <w:rsid w:val="00A13345"/>
    <w:rsid w:val="00A21365"/>
    <w:rsid w:val="00A43EBC"/>
    <w:rsid w:val="00A451CB"/>
    <w:rsid w:val="00A90CA7"/>
    <w:rsid w:val="00A9168A"/>
    <w:rsid w:val="00A94852"/>
    <w:rsid w:val="00AB03A2"/>
    <w:rsid w:val="00AB45E7"/>
    <w:rsid w:val="00AC1262"/>
    <w:rsid w:val="00AC6B17"/>
    <w:rsid w:val="00AD377F"/>
    <w:rsid w:val="00AE2092"/>
    <w:rsid w:val="00AE4D49"/>
    <w:rsid w:val="00AF734F"/>
    <w:rsid w:val="00AF76FE"/>
    <w:rsid w:val="00B02E4C"/>
    <w:rsid w:val="00B13B3E"/>
    <w:rsid w:val="00B41E9E"/>
    <w:rsid w:val="00B47C30"/>
    <w:rsid w:val="00B47FB8"/>
    <w:rsid w:val="00B63726"/>
    <w:rsid w:val="00B662D3"/>
    <w:rsid w:val="00B66E3B"/>
    <w:rsid w:val="00B73797"/>
    <w:rsid w:val="00B77D14"/>
    <w:rsid w:val="00B827B2"/>
    <w:rsid w:val="00B92912"/>
    <w:rsid w:val="00BA307A"/>
    <w:rsid w:val="00BB5E56"/>
    <w:rsid w:val="00BE5442"/>
    <w:rsid w:val="00BF2AAB"/>
    <w:rsid w:val="00BF5083"/>
    <w:rsid w:val="00C37F66"/>
    <w:rsid w:val="00C4510A"/>
    <w:rsid w:val="00C47DAB"/>
    <w:rsid w:val="00C77092"/>
    <w:rsid w:val="00C9790C"/>
    <w:rsid w:val="00CC2A32"/>
    <w:rsid w:val="00CD3068"/>
    <w:rsid w:val="00CE16F8"/>
    <w:rsid w:val="00CF17C1"/>
    <w:rsid w:val="00CF4664"/>
    <w:rsid w:val="00CF7926"/>
    <w:rsid w:val="00D226BB"/>
    <w:rsid w:val="00D52465"/>
    <w:rsid w:val="00D70266"/>
    <w:rsid w:val="00D7742F"/>
    <w:rsid w:val="00D85036"/>
    <w:rsid w:val="00DA4857"/>
    <w:rsid w:val="00DB3586"/>
    <w:rsid w:val="00DB6C30"/>
    <w:rsid w:val="00DC007A"/>
    <w:rsid w:val="00DC4421"/>
    <w:rsid w:val="00DC4E90"/>
    <w:rsid w:val="00DC5D76"/>
    <w:rsid w:val="00DD3220"/>
    <w:rsid w:val="00DE0DDF"/>
    <w:rsid w:val="00E00484"/>
    <w:rsid w:val="00E24072"/>
    <w:rsid w:val="00E4650E"/>
    <w:rsid w:val="00E50C57"/>
    <w:rsid w:val="00E54C1A"/>
    <w:rsid w:val="00E61446"/>
    <w:rsid w:val="00E616AD"/>
    <w:rsid w:val="00E61978"/>
    <w:rsid w:val="00E63B14"/>
    <w:rsid w:val="00E812A3"/>
    <w:rsid w:val="00EA19F4"/>
    <w:rsid w:val="00EA432D"/>
    <w:rsid w:val="00EB3EBB"/>
    <w:rsid w:val="00EB4499"/>
    <w:rsid w:val="00EB59F0"/>
    <w:rsid w:val="00EC2A19"/>
    <w:rsid w:val="00EC6A3D"/>
    <w:rsid w:val="00EC7338"/>
    <w:rsid w:val="00ED75B1"/>
    <w:rsid w:val="00EE159E"/>
    <w:rsid w:val="00EE7D3F"/>
    <w:rsid w:val="00EF10F1"/>
    <w:rsid w:val="00F004AF"/>
    <w:rsid w:val="00F10D44"/>
    <w:rsid w:val="00F11930"/>
    <w:rsid w:val="00F149A8"/>
    <w:rsid w:val="00F31809"/>
    <w:rsid w:val="00F3430E"/>
    <w:rsid w:val="00F4402D"/>
    <w:rsid w:val="00F506AB"/>
    <w:rsid w:val="00F50CF5"/>
    <w:rsid w:val="00F54774"/>
    <w:rsid w:val="00F6105D"/>
    <w:rsid w:val="00F63C05"/>
    <w:rsid w:val="00F65655"/>
    <w:rsid w:val="00F65A72"/>
    <w:rsid w:val="00FA5FB8"/>
    <w:rsid w:val="00FB69EE"/>
    <w:rsid w:val="00FC011C"/>
    <w:rsid w:val="00FC57CD"/>
    <w:rsid w:val="00FD0A29"/>
    <w:rsid w:val="00FE4F7D"/>
    <w:rsid w:val="00FF55AB"/>
    <w:rsid w:val="00FF7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66E49"/>
  <w15:chartTrackingRefBased/>
  <w15:docId w15:val="{1F97586D-1B5D-41B2-BA58-C8267725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5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112"/>
  </w:style>
  <w:style w:type="character" w:styleId="LineNumber">
    <w:name w:val="line number"/>
    <w:basedOn w:val="DefaultParagraphFont"/>
    <w:uiPriority w:val="99"/>
    <w:semiHidden/>
    <w:unhideWhenUsed/>
    <w:rsid w:val="006A5112"/>
  </w:style>
  <w:style w:type="character" w:styleId="Hyperlink">
    <w:name w:val="Hyperlink"/>
    <w:basedOn w:val="DefaultParagraphFont"/>
    <w:uiPriority w:val="99"/>
    <w:unhideWhenUsed/>
    <w:rsid w:val="00F31809"/>
    <w:rPr>
      <w:color w:val="0563C1" w:themeColor="hyperlink"/>
      <w:u w:val="single"/>
    </w:rPr>
  </w:style>
  <w:style w:type="character" w:styleId="CommentReference">
    <w:name w:val="annotation reference"/>
    <w:basedOn w:val="DefaultParagraphFont"/>
    <w:uiPriority w:val="99"/>
    <w:semiHidden/>
    <w:unhideWhenUsed/>
    <w:rsid w:val="002A5C64"/>
    <w:rPr>
      <w:sz w:val="16"/>
      <w:szCs w:val="16"/>
    </w:rPr>
  </w:style>
  <w:style w:type="paragraph" w:styleId="CommentText">
    <w:name w:val="annotation text"/>
    <w:basedOn w:val="Normal"/>
    <w:link w:val="CommentTextChar"/>
    <w:uiPriority w:val="99"/>
    <w:semiHidden/>
    <w:unhideWhenUsed/>
    <w:rsid w:val="002A5C64"/>
    <w:pPr>
      <w:spacing w:line="240" w:lineRule="auto"/>
    </w:pPr>
    <w:rPr>
      <w:sz w:val="20"/>
      <w:szCs w:val="20"/>
    </w:rPr>
  </w:style>
  <w:style w:type="character" w:customStyle="1" w:styleId="CommentTextChar">
    <w:name w:val="Comment Text Char"/>
    <w:basedOn w:val="DefaultParagraphFont"/>
    <w:link w:val="CommentText"/>
    <w:uiPriority w:val="99"/>
    <w:semiHidden/>
    <w:rsid w:val="002A5C64"/>
    <w:rPr>
      <w:sz w:val="20"/>
      <w:szCs w:val="20"/>
    </w:rPr>
  </w:style>
  <w:style w:type="paragraph" w:styleId="CommentSubject">
    <w:name w:val="annotation subject"/>
    <w:basedOn w:val="CommentText"/>
    <w:next w:val="CommentText"/>
    <w:link w:val="CommentSubjectChar"/>
    <w:uiPriority w:val="99"/>
    <w:semiHidden/>
    <w:unhideWhenUsed/>
    <w:rsid w:val="002A5C64"/>
    <w:rPr>
      <w:b/>
      <w:bCs/>
    </w:rPr>
  </w:style>
  <w:style w:type="character" w:customStyle="1" w:styleId="CommentSubjectChar">
    <w:name w:val="Comment Subject Char"/>
    <w:basedOn w:val="CommentTextChar"/>
    <w:link w:val="CommentSubject"/>
    <w:uiPriority w:val="99"/>
    <w:semiHidden/>
    <w:rsid w:val="002A5C64"/>
    <w:rPr>
      <w:b/>
      <w:bCs/>
      <w:sz w:val="20"/>
      <w:szCs w:val="20"/>
    </w:rPr>
  </w:style>
  <w:style w:type="paragraph" w:styleId="BalloonText">
    <w:name w:val="Balloon Text"/>
    <w:basedOn w:val="Normal"/>
    <w:link w:val="BalloonTextChar"/>
    <w:uiPriority w:val="99"/>
    <w:semiHidden/>
    <w:unhideWhenUsed/>
    <w:rsid w:val="002A5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C64"/>
    <w:rPr>
      <w:rFonts w:ascii="Segoe UI" w:hAnsi="Segoe UI" w:cs="Segoe UI"/>
      <w:sz w:val="18"/>
      <w:szCs w:val="18"/>
    </w:rPr>
  </w:style>
  <w:style w:type="character" w:styleId="Emphasis">
    <w:name w:val="Emphasis"/>
    <w:basedOn w:val="DefaultParagraphFont"/>
    <w:uiPriority w:val="20"/>
    <w:qFormat/>
    <w:rsid w:val="003F50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dx.doi.org/10.1111/2041-210X.12512" TargetMode="External"/><Relationship Id="rId2" Type="http://schemas.openxmlformats.org/officeDocument/2006/relationships/hyperlink" Target="https://doi.org/10.1111/2041-210X.12512" TargetMode="External"/><Relationship Id="rId1" Type="http://schemas.openxmlformats.org/officeDocument/2006/relationships/hyperlink" Target="https://CRAN.R" TargetMode="External"/><Relationship Id="rId4" Type="http://schemas.openxmlformats.org/officeDocument/2006/relationships/hyperlink" Target="http://www.jstatsoft.org/v36/i03/" TargetMode="External"/></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Hautier</dc:creator>
  <cp:keywords/>
  <dc:description/>
  <cp:lastModifiedBy>Yann Hautier</cp:lastModifiedBy>
  <cp:revision>12</cp:revision>
  <dcterms:created xsi:type="dcterms:W3CDTF">2020-03-25T16:01:00Z</dcterms:created>
  <dcterms:modified xsi:type="dcterms:W3CDTF">2020-03-26T13:15:00Z</dcterms:modified>
</cp:coreProperties>
</file>